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80709" w14:textId="58C2908D" w:rsidR="00D606CA" w:rsidRPr="00F95BEE" w:rsidRDefault="00D606CA">
      <w:pPr>
        <w:rPr>
          <w:rFonts w:cstheme="minorHAnsi"/>
        </w:rPr>
      </w:pPr>
    </w:p>
    <w:p w14:paraId="2A3763DD" w14:textId="5EA200D1" w:rsidR="00BE55DF" w:rsidRPr="00F95BEE" w:rsidRDefault="00BE55DF" w:rsidP="00BE55DF">
      <w:pPr>
        <w:pStyle w:val="ListParagraph"/>
        <w:autoSpaceDE w:val="0"/>
        <w:autoSpaceDN w:val="0"/>
        <w:spacing w:line="276" w:lineRule="auto"/>
        <w:jc w:val="both"/>
        <w:rPr>
          <w:rFonts w:asciiTheme="minorHAnsi" w:hAnsiTheme="minorHAnsi" w:cstheme="minorHAnsi"/>
          <w:b/>
          <w:bCs/>
          <w:lang w:val="en-GB" w:eastAsia="es-MX"/>
        </w:rPr>
      </w:pPr>
      <w:bookmarkStart w:id="0" w:name="_Hlk71539034"/>
      <w:bookmarkStart w:id="1" w:name="_Hlk2183064"/>
      <w:r w:rsidRPr="00F95BEE">
        <w:rPr>
          <w:rFonts w:asciiTheme="minorHAnsi" w:hAnsiTheme="minorHAnsi" w:cstheme="minorHAnsi"/>
          <w:b/>
          <w:bCs/>
          <w:lang w:val="en-GB" w:eastAsia="es-MX"/>
        </w:rPr>
        <w:t>Responsible &amp; Inclusive Merchant Digitization Action Research in Pakistan</w:t>
      </w:r>
    </w:p>
    <w:p w14:paraId="08063296" w14:textId="77777777" w:rsidR="00BE55DF" w:rsidRPr="00F95BEE" w:rsidRDefault="00BE55DF" w:rsidP="00BE55DF">
      <w:pPr>
        <w:pStyle w:val="ListParagraph"/>
        <w:autoSpaceDE w:val="0"/>
        <w:autoSpaceDN w:val="0"/>
        <w:spacing w:line="276" w:lineRule="auto"/>
        <w:jc w:val="both"/>
        <w:rPr>
          <w:rFonts w:asciiTheme="minorHAnsi" w:hAnsiTheme="minorHAnsi" w:cstheme="minorHAnsi"/>
          <w:b/>
          <w:bCs/>
          <w:lang w:val="en-GB" w:eastAsia="es-MX"/>
        </w:rPr>
      </w:pPr>
    </w:p>
    <w:bookmarkEnd w:id="0"/>
    <w:bookmarkEnd w:id="1"/>
    <w:p w14:paraId="301A4825" w14:textId="77777777" w:rsidR="00F95BEE" w:rsidRPr="00F95BEE" w:rsidRDefault="00F95BEE" w:rsidP="00F95BEE">
      <w:pPr>
        <w:pStyle w:val="ListParagraph"/>
        <w:autoSpaceDE w:val="0"/>
        <w:autoSpaceDN w:val="0"/>
        <w:spacing w:line="276" w:lineRule="auto"/>
        <w:ind w:left="0"/>
        <w:jc w:val="both"/>
        <w:rPr>
          <w:rFonts w:asciiTheme="minorHAnsi" w:hAnsiTheme="minorHAnsi" w:cstheme="minorHAnsi"/>
          <w:sz w:val="20"/>
          <w:szCs w:val="20"/>
          <w:lang w:val="en-GB"/>
        </w:rPr>
      </w:pPr>
      <w:r w:rsidRPr="00F95BEE">
        <w:rPr>
          <w:rFonts w:asciiTheme="minorHAnsi" w:eastAsia="Corbel" w:hAnsiTheme="minorHAnsi" w:cstheme="minorHAnsi"/>
          <w:color w:val="000000"/>
          <w:sz w:val="20"/>
          <w:szCs w:val="20"/>
          <w:lang w:val="en-GB"/>
        </w:rPr>
        <w:t xml:space="preserve">The Better Than Cash Alliance is working in partnership with the Government of Pakistan to identify opportunities to promote inclusive growth, boost productivity, and improve the livelihoods of small and midsized, </w:t>
      </w:r>
      <w:proofErr w:type="gramStart"/>
      <w:r w:rsidRPr="00F95BEE">
        <w:rPr>
          <w:rFonts w:asciiTheme="minorHAnsi" w:eastAsia="Corbel" w:hAnsiTheme="minorHAnsi" w:cstheme="minorHAnsi"/>
          <w:color w:val="000000"/>
          <w:sz w:val="20"/>
          <w:szCs w:val="20"/>
          <w:lang w:val="en-GB"/>
        </w:rPr>
        <w:t>informal</w:t>
      </w:r>
      <w:proofErr w:type="gramEnd"/>
      <w:r w:rsidRPr="00F95BEE">
        <w:rPr>
          <w:rFonts w:asciiTheme="minorHAnsi" w:eastAsia="Corbel" w:hAnsiTheme="minorHAnsi" w:cstheme="minorHAnsi"/>
          <w:color w:val="000000"/>
          <w:sz w:val="20"/>
          <w:szCs w:val="20"/>
          <w:lang w:val="en-GB"/>
        </w:rPr>
        <w:t xml:space="preserve"> and formal business owners and specifically, women entrepreneurs, through the adoption of digital payments and commerce in the merchant value chain in Pakistan.</w:t>
      </w:r>
    </w:p>
    <w:p w14:paraId="7B4E7886" w14:textId="77777777" w:rsidR="00F95BEE" w:rsidRPr="00F95BEE" w:rsidRDefault="00F95BEE" w:rsidP="00F95BEE">
      <w:pPr>
        <w:pStyle w:val="ListParagraph"/>
        <w:autoSpaceDE w:val="0"/>
        <w:autoSpaceDN w:val="0"/>
        <w:spacing w:line="276" w:lineRule="auto"/>
        <w:ind w:left="0"/>
        <w:jc w:val="both"/>
        <w:rPr>
          <w:rFonts w:asciiTheme="minorHAnsi" w:hAnsiTheme="minorHAnsi" w:cstheme="minorHAnsi"/>
          <w:sz w:val="20"/>
          <w:szCs w:val="20"/>
          <w:lang w:val="en-GB"/>
        </w:rPr>
      </w:pPr>
    </w:p>
    <w:p w14:paraId="0C7298A8" w14:textId="77777777" w:rsidR="00F95BEE" w:rsidRPr="00F95BEE" w:rsidRDefault="00F95BEE" w:rsidP="00F95BEE">
      <w:pPr>
        <w:pStyle w:val="ListParagraph"/>
        <w:autoSpaceDE w:val="0"/>
        <w:autoSpaceDN w:val="0"/>
        <w:spacing w:line="276" w:lineRule="auto"/>
        <w:ind w:left="0"/>
        <w:jc w:val="both"/>
        <w:rPr>
          <w:rFonts w:asciiTheme="minorHAnsi" w:eastAsia="Corbel" w:hAnsiTheme="minorHAnsi" w:cstheme="minorHAnsi"/>
          <w:color w:val="000000"/>
          <w:sz w:val="20"/>
          <w:szCs w:val="20"/>
          <w:lang w:val="en-GB"/>
        </w:rPr>
      </w:pPr>
      <w:r w:rsidRPr="00F95BEE">
        <w:rPr>
          <w:rFonts w:asciiTheme="minorHAnsi" w:hAnsiTheme="minorHAnsi" w:cstheme="minorHAnsi"/>
          <w:sz w:val="20"/>
          <w:szCs w:val="20"/>
          <w:lang w:val="en-GB"/>
        </w:rPr>
        <w:t xml:space="preserve">This project will endeavour to catalyse and scale ongoing merchant digitization and financial inclusion initiatives in the Pakistan whilst supporting the alignment of these initiatives with the </w:t>
      </w:r>
      <w:hyperlink r:id="rId10" w:history="1">
        <w:r w:rsidRPr="00F95BEE">
          <w:rPr>
            <w:rStyle w:val="Hyperlink"/>
            <w:rFonts w:asciiTheme="minorHAnsi" w:hAnsiTheme="minorHAnsi" w:cstheme="minorHAnsi"/>
            <w:sz w:val="20"/>
            <w:szCs w:val="20"/>
            <w:lang w:val="en-GB"/>
          </w:rPr>
          <w:t>UN Responsible Digital Payment Principles</w:t>
        </w:r>
      </w:hyperlink>
      <w:r w:rsidRPr="00F95BEE">
        <w:rPr>
          <w:rFonts w:asciiTheme="minorHAnsi" w:hAnsiTheme="minorHAnsi" w:cstheme="minorHAnsi"/>
          <w:sz w:val="20"/>
          <w:szCs w:val="20"/>
          <w:lang w:val="en-GB"/>
        </w:rPr>
        <w:t>.</w:t>
      </w:r>
    </w:p>
    <w:p w14:paraId="23570EC5" w14:textId="77777777" w:rsidR="00F95BEE" w:rsidRPr="00F95BEE" w:rsidRDefault="00F95BEE" w:rsidP="00F95BEE">
      <w:pPr>
        <w:pStyle w:val="ListParagraph"/>
        <w:autoSpaceDE w:val="0"/>
        <w:autoSpaceDN w:val="0"/>
        <w:spacing w:line="276" w:lineRule="auto"/>
        <w:ind w:left="0"/>
        <w:jc w:val="both"/>
        <w:rPr>
          <w:rFonts w:asciiTheme="minorHAnsi" w:eastAsia="Corbel" w:hAnsiTheme="minorHAnsi" w:cstheme="minorHAnsi"/>
          <w:color w:val="000000"/>
          <w:sz w:val="20"/>
          <w:szCs w:val="20"/>
          <w:lang w:val="en-GB"/>
        </w:rPr>
      </w:pPr>
    </w:p>
    <w:p w14:paraId="5DDE55B6" w14:textId="77777777" w:rsidR="00F95BEE" w:rsidRPr="00F95BEE" w:rsidRDefault="00F95BEE" w:rsidP="00F95BEE">
      <w:pPr>
        <w:pStyle w:val="ListParagraph"/>
        <w:autoSpaceDE w:val="0"/>
        <w:autoSpaceDN w:val="0"/>
        <w:spacing w:line="276" w:lineRule="auto"/>
        <w:ind w:left="0"/>
        <w:jc w:val="both"/>
        <w:rPr>
          <w:rFonts w:asciiTheme="minorHAnsi" w:hAnsiTheme="minorHAnsi" w:cstheme="minorHAnsi"/>
          <w:sz w:val="20"/>
          <w:szCs w:val="20"/>
          <w:lang w:val="en-GB"/>
        </w:rPr>
      </w:pPr>
      <w:r w:rsidRPr="00F95BEE">
        <w:rPr>
          <w:rFonts w:asciiTheme="minorHAnsi" w:eastAsia="Corbel" w:hAnsiTheme="minorHAnsi" w:cstheme="minorHAnsi"/>
          <w:color w:val="000000"/>
          <w:sz w:val="20"/>
          <w:szCs w:val="20"/>
          <w:lang w:val="en-GB"/>
        </w:rPr>
        <w:t xml:space="preserve">In line, with the Alliance’s call to </w:t>
      </w:r>
      <w:hyperlink r:id="rId11" w:history="1">
        <w:r w:rsidRPr="00F95BEE">
          <w:rPr>
            <w:rStyle w:val="Hyperlink"/>
            <w:rFonts w:asciiTheme="minorHAnsi" w:eastAsia="Corbel" w:hAnsiTheme="minorHAnsi" w:cstheme="minorHAnsi"/>
            <w:sz w:val="20"/>
            <w:szCs w:val="20"/>
            <w:lang w:val="en-GB"/>
          </w:rPr>
          <w:t>reach financial equality of women</w:t>
        </w:r>
      </w:hyperlink>
      <w:r w:rsidRPr="00F95BEE">
        <w:rPr>
          <w:rFonts w:asciiTheme="minorHAnsi" w:eastAsia="Corbel" w:hAnsiTheme="minorHAnsi" w:cstheme="minorHAnsi"/>
          <w:color w:val="000000"/>
          <w:sz w:val="20"/>
          <w:szCs w:val="20"/>
          <w:lang w:val="en-GB"/>
        </w:rPr>
        <w:t>, the purpose of this request for applications (RFA) is to</w:t>
      </w:r>
      <w:r w:rsidRPr="00F95BEE">
        <w:rPr>
          <w:rFonts w:asciiTheme="minorHAnsi" w:eastAsia="Corbel,Calibri" w:hAnsiTheme="minorHAnsi" w:cstheme="minorHAnsi"/>
          <w:color w:val="000000"/>
          <w:sz w:val="20"/>
          <w:szCs w:val="20"/>
          <w:lang w:val="en-GB"/>
        </w:rPr>
        <w:t xml:space="preserve"> </w:t>
      </w:r>
      <w:r w:rsidRPr="00F95BEE">
        <w:rPr>
          <w:rFonts w:asciiTheme="minorHAnsi" w:eastAsia="Corbel" w:hAnsiTheme="minorHAnsi" w:cstheme="minorHAnsi"/>
          <w:color w:val="000000"/>
          <w:sz w:val="20"/>
          <w:szCs w:val="20"/>
          <w:lang w:val="en-GB"/>
        </w:rPr>
        <w:t xml:space="preserve">support the partnership between the Government of Pakistan and the Better Than Cash Alliance, to understand </w:t>
      </w:r>
      <w:r w:rsidRPr="00F95BEE">
        <w:rPr>
          <w:rFonts w:asciiTheme="minorHAnsi" w:hAnsiTheme="minorHAnsi" w:cstheme="minorHAnsi"/>
          <w:sz w:val="20"/>
          <w:szCs w:val="20"/>
          <w:lang w:val="en-GB"/>
        </w:rPr>
        <w:t>how digitizing women-led, small and medium sized business merchant payments can enable increased efficiency and improved economic outcomes, through a digital payments readiness &amp; market needs assessment.</w:t>
      </w:r>
    </w:p>
    <w:p w14:paraId="358AFF29" w14:textId="77777777" w:rsidR="00F95BEE" w:rsidRPr="00F95BEE" w:rsidRDefault="00F95BEE" w:rsidP="00F95BEE">
      <w:pPr>
        <w:pStyle w:val="ListParagraph"/>
        <w:autoSpaceDE w:val="0"/>
        <w:autoSpaceDN w:val="0"/>
        <w:spacing w:line="276" w:lineRule="auto"/>
        <w:ind w:left="0"/>
        <w:jc w:val="both"/>
        <w:rPr>
          <w:rFonts w:asciiTheme="minorHAnsi" w:hAnsiTheme="minorHAnsi" w:cstheme="minorHAnsi"/>
          <w:sz w:val="20"/>
          <w:szCs w:val="20"/>
          <w:lang w:val="en-GB"/>
        </w:rPr>
      </w:pPr>
    </w:p>
    <w:p w14:paraId="306B8BC8" w14:textId="77777777" w:rsidR="00F95BEE" w:rsidRPr="00F95BEE" w:rsidRDefault="00F95BEE" w:rsidP="00F95BEE">
      <w:pPr>
        <w:pStyle w:val="ListParagraph"/>
        <w:autoSpaceDE w:val="0"/>
        <w:autoSpaceDN w:val="0"/>
        <w:spacing w:line="276" w:lineRule="auto"/>
        <w:ind w:left="0"/>
        <w:jc w:val="both"/>
        <w:rPr>
          <w:rFonts w:asciiTheme="minorHAnsi" w:hAnsiTheme="minorHAnsi" w:cstheme="minorHAnsi"/>
          <w:sz w:val="20"/>
          <w:szCs w:val="20"/>
          <w:lang w:val="en-GB"/>
        </w:rPr>
      </w:pPr>
      <w:r w:rsidRPr="00F95BEE">
        <w:rPr>
          <w:rFonts w:asciiTheme="minorHAnsi" w:hAnsiTheme="minorHAnsi" w:cstheme="minorHAnsi"/>
          <w:sz w:val="20"/>
          <w:szCs w:val="20"/>
          <w:lang w:val="en-GB"/>
        </w:rPr>
        <w:t>This analysis and assessment</w:t>
      </w:r>
      <w:r w:rsidRPr="00F95BEE">
        <w:rPr>
          <w:rFonts w:asciiTheme="minorHAnsi" w:hAnsiTheme="minorHAnsi" w:cstheme="minorHAnsi"/>
          <w:b/>
          <w:bCs/>
          <w:sz w:val="20"/>
          <w:szCs w:val="20"/>
          <w:lang w:val="en-GB"/>
        </w:rPr>
        <w:t xml:space="preserve"> </w:t>
      </w:r>
      <w:r w:rsidRPr="00F95BEE">
        <w:rPr>
          <w:rFonts w:asciiTheme="minorHAnsi" w:hAnsiTheme="minorHAnsi" w:cstheme="minorHAnsi"/>
          <w:sz w:val="20"/>
          <w:szCs w:val="20"/>
          <w:lang w:val="en-GB"/>
        </w:rPr>
        <w:t xml:space="preserve">will document and explore: </w:t>
      </w:r>
    </w:p>
    <w:p w14:paraId="28DE40DD"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 xml:space="preserve">the current payments ecosystem landscape for micro, small and medium merchants, with a focus on women entrepreneurs/business-owners, including the use cases and the associated costs of receiving and making digital payments (see </w:t>
      </w:r>
      <w:hyperlink r:id="rId12" w:history="1">
        <w:r w:rsidRPr="00F95BEE">
          <w:rPr>
            <w:rStyle w:val="Hyperlink"/>
            <w:rFonts w:asciiTheme="minorHAnsi" w:eastAsia="Corbel" w:hAnsiTheme="minorHAnsi" w:cstheme="minorHAnsi"/>
            <w:sz w:val="20"/>
            <w:szCs w:val="20"/>
            <w:lang w:val="en-GB"/>
          </w:rPr>
          <w:t>ITU: Enabling Merchant Payments Acceptance in the Digital Financial Ecosystems</w:t>
        </w:r>
      </w:hyperlink>
      <w:r w:rsidRPr="00F95BEE">
        <w:rPr>
          <w:rFonts w:asciiTheme="minorHAnsi" w:eastAsia="Corbel" w:hAnsiTheme="minorHAnsi" w:cstheme="minorHAnsi"/>
          <w:color w:val="000000"/>
          <w:sz w:val="20"/>
          <w:szCs w:val="20"/>
          <w:lang w:val="en-GB"/>
        </w:rPr>
        <w:t xml:space="preserve">, </w:t>
      </w:r>
      <w:hyperlink r:id="rId13" w:history="1">
        <w:r w:rsidRPr="00F95BEE">
          <w:rPr>
            <w:rStyle w:val="Hyperlink"/>
            <w:rFonts w:asciiTheme="minorHAnsi" w:eastAsia="Corbel" w:hAnsiTheme="minorHAnsi" w:cstheme="minorHAnsi"/>
            <w:sz w:val="20"/>
            <w:szCs w:val="20"/>
            <w:lang w:val="en-GB"/>
          </w:rPr>
          <w:t>IFC: Merchant Payments &amp; Digital Financial Services</w:t>
        </w:r>
      </w:hyperlink>
      <w:r w:rsidRPr="00F95BEE">
        <w:rPr>
          <w:rFonts w:asciiTheme="minorHAnsi" w:eastAsia="Corbel" w:hAnsiTheme="minorHAnsi" w:cstheme="minorHAnsi"/>
          <w:color w:val="000000"/>
          <w:sz w:val="20"/>
          <w:szCs w:val="20"/>
          <w:lang w:val="en-GB"/>
        </w:rPr>
        <w:t>)</w:t>
      </w:r>
    </w:p>
    <w:p w14:paraId="716B2384"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near-future payments landscape for micro, small and medium merchants, in light of new technology and policy developments in Pakistan.</w:t>
      </w:r>
    </w:p>
    <w:p w14:paraId="363E78DD"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 xml:space="preserve">the infrastructural and economic challenges that have thus far prevented wider economic participation and financial inclusion of women in Pakistan relative to similar regional markets (see: </w:t>
      </w:r>
      <w:hyperlink r:id="rId14" w:history="1">
        <w:r w:rsidRPr="00F95BEE">
          <w:rPr>
            <w:rStyle w:val="Hyperlink"/>
            <w:rFonts w:asciiTheme="minorHAnsi" w:eastAsia="Corbel" w:hAnsiTheme="minorHAnsi" w:cstheme="minorHAnsi"/>
            <w:sz w:val="20"/>
            <w:szCs w:val="20"/>
            <w:lang w:val="en-GB"/>
          </w:rPr>
          <w:t>GPFI Advancing Women’s Digital Financial Inclusion</w:t>
        </w:r>
      </w:hyperlink>
      <w:r w:rsidRPr="00F95BEE">
        <w:rPr>
          <w:rFonts w:asciiTheme="minorHAnsi" w:eastAsia="Corbel" w:hAnsiTheme="minorHAnsi" w:cstheme="minorHAnsi"/>
          <w:color w:val="000000"/>
          <w:sz w:val="20"/>
          <w:szCs w:val="20"/>
          <w:lang w:val="en-GB"/>
        </w:rPr>
        <w:t>)</w:t>
      </w:r>
    </w:p>
    <w:p w14:paraId="15AF7E25"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state of financial literacy of women entrepreneurs</w:t>
      </w:r>
    </w:p>
    <w:p w14:paraId="08870C57"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 xml:space="preserve">the quality, efficacy &amp; design of incentives for women merchants and other marginalized value chain actors for the adoption of digital payments (see </w:t>
      </w:r>
      <w:hyperlink r:id="rId15" w:history="1">
        <w:r w:rsidRPr="00F95BEE">
          <w:rPr>
            <w:rStyle w:val="Hyperlink"/>
            <w:rFonts w:asciiTheme="minorHAnsi" w:eastAsia="Corbel" w:hAnsiTheme="minorHAnsi" w:cstheme="minorHAnsi"/>
            <w:sz w:val="20"/>
            <w:szCs w:val="20"/>
            <w:lang w:val="en-GB"/>
          </w:rPr>
          <w:t>FIGI Electronic Payments Acceptance Incentives</w:t>
        </w:r>
      </w:hyperlink>
      <w:r w:rsidRPr="00F95BEE">
        <w:rPr>
          <w:rFonts w:asciiTheme="minorHAnsi" w:eastAsia="Corbel" w:hAnsiTheme="minorHAnsi" w:cstheme="minorHAnsi"/>
          <w:color w:val="000000"/>
          <w:sz w:val="20"/>
          <w:szCs w:val="20"/>
          <w:lang w:val="en-GB"/>
        </w:rPr>
        <w:t>)</w:t>
      </w:r>
    </w:p>
    <w:p w14:paraId="3FF1103D"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role of the public and private sector stakeholders, their motivations, aspirations and hygiene requirements to contribute towards successful women merchant digitization efforts.</w:t>
      </w:r>
    </w:p>
    <w:p w14:paraId="1E08DB90"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regulatory landscape and policy measures taken by federal and provincial regulatory stakeholders including but not limited to the FBR, SBP, SRB, PRA, KPRA &amp; TDAP to drive the economic and financial inclusion of women.</w:t>
      </w:r>
    </w:p>
    <w:p w14:paraId="54DBF043"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efforts of the private sector, with a particular focus on the emerging FinTech companies, in their potential role as a catalyst for driving the economic inclusion of women.</w:t>
      </w:r>
    </w:p>
    <w:p w14:paraId="149D2916"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role of women in the delivery of financial services as a potential accelerant to financial inclusion of women, women merchants and small and medium sized businesses.</w:t>
      </w:r>
    </w:p>
    <w:p w14:paraId="6C3DF64C"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current and forward business case for investments in, and the prioritization, of financial inclusion of women entrepreneurs.</w:t>
      </w:r>
    </w:p>
    <w:p w14:paraId="201EC27D" w14:textId="77777777" w:rsidR="00F95BEE" w:rsidRPr="00F95BEE" w:rsidRDefault="00F95BEE" w:rsidP="00F95BEE">
      <w:pPr>
        <w:pStyle w:val="ListParagraph"/>
        <w:numPr>
          <w:ilvl w:val="0"/>
          <w:numId w:val="13"/>
        </w:numPr>
        <w:autoSpaceDE w:val="0"/>
        <w:autoSpaceDN w:val="0"/>
        <w:spacing w:before="0" w:beforeAutospacing="0" w:after="0" w:afterAutospacing="0"/>
        <w:jc w:val="both"/>
        <w:rPr>
          <w:rFonts w:asciiTheme="minorHAnsi" w:eastAsia="Corbel" w:hAnsiTheme="minorHAnsi" w:cstheme="minorHAnsi"/>
          <w:color w:val="000000"/>
          <w:sz w:val="20"/>
          <w:szCs w:val="20"/>
          <w:lang w:val="en-GB"/>
        </w:rPr>
      </w:pPr>
      <w:r w:rsidRPr="00F95BEE">
        <w:rPr>
          <w:rFonts w:asciiTheme="minorHAnsi" w:eastAsia="Corbel" w:hAnsiTheme="minorHAnsi" w:cstheme="minorHAnsi"/>
          <w:color w:val="000000"/>
          <w:sz w:val="20"/>
          <w:szCs w:val="20"/>
          <w:lang w:val="en-GB"/>
        </w:rPr>
        <w:t>the approximated incremental GDP growth opportunity that can be unlocked through the whole sale adoption of digital payments and platforms by women-led, small and medium sized businesses.</w:t>
      </w:r>
    </w:p>
    <w:p w14:paraId="5E684265" w14:textId="5F85552C" w:rsidR="00642341" w:rsidRPr="00F509B8" w:rsidRDefault="00642341" w:rsidP="00642341">
      <w:pPr>
        <w:pStyle w:val="NormalWeb"/>
        <w:rPr>
          <w:rFonts w:asciiTheme="minorHAnsi" w:hAnsiTheme="minorHAnsi" w:cstheme="minorHAnsi"/>
          <w:sz w:val="20"/>
          <w:szCs w:val="20"/>
          <w:lang w:val="en-US"/>
        </w:rPr>
      </w:pPr>
      <w:r w:rsidRPr="00F509B8">
        <w:rPr>
          <w:rFonts w:asciiTheme="minorHAnsi" w:hAnsiTheme="minorHAnsi" w:cstheme="minorHAnsi"/>
          <w:sz w:val="20"/>
          <w:szCs w:val="20"/>
          <w:lang w:val="en-US"/>
        </w:rPr>
        <w:t>UNCDF will contribute a grant of up to USD 60,000 and will award one applicant pending on the investment readiness level and outreach potential of the solution proposed. The selected applicant who will be technically responsive to this Request for Application will sign a Performance-Based Agreement (PBA). </w:t>
      </w:r>
    </w:p>
    <w:p w14:paraId="40EA2D9E" w14:textId="4D5E5F03" w:rsidR="00642341" w:rsidRPr="00F509B8" w:rsidRDefault="00642341" w:rsidP="00642341">
      <w:pPr>
        <w:pStyle w:val="NormalWeb"/>
        <w:rPr>
          <w:rFonts w:asciiTheme="minorHAnsi" w:hAnsiTheme="minorHAnsi" w:cstheme="minorHAnsi"/>
          <w:sz w:val="20"/>
          <w:szCs w:val="20"/>
          <w:lang w:val="en-US"/>
        </w:rPr>
      </w:pPr>
      <w:r w:rsidRPr="00F509B8">
        <w:rPr>
          <w:rFonts w:asciiTheme="minorHAnsi" w:hAnsiTheme="minorHAnsi" w:cstheme="minorHAnsi"/>
          <w:sz w:val="20"/>
          <w:szCs w:val="20"/>
          <w:lang w:val="en-US"/>
        </w:rPr>
        <w:lastRenderedPageBreak/>
        <w:t xml:space="preserve">For requests and queries, send an email to </w:t>
      </w:r>
      <w:hyperlink r:id="rId16" w:history="1">
        <w:r w:rsidR="00BE55DF" w:rsidRPr="00F509B8">
          <w:rPr>
            <w:rStyle w:val="Hyperlink"/>
            <w:rFonts w:asciiTheme="minorHAnsi" w:hAnsiTheme="minorHAnsi" w:cstheme="minorHAnsi"/>
            <w:sz w:val="20"/>
            <w:szCs w:val="20"/>
            <w:lang w:val="en-US"/>
          </w:rPr>
          <w:t>raza.matin@uncdf.org</w:t>
        </w:r>
      </w:hyperlink>
      <w:r w:rsidR="00BE55DF" w:rsidRPr="00F509B8">
        <w:rPr>
          <w:rFonts w:asciiTheme="minorHAnsi" w:hAnsiTheme="minorHAnsi" w:cstheme="minorHAnsi"/>
          <w:sz w:val="20"/>
          <w:szCs w:val="20"/>
          <w:lang w:val="en-US"/>
        </w:rPr>
        <w:t xml:space="preserve"> </w:t>
      </w:r>
      <w:r w:rsidRPr="00F509B8">
        <w:rPr>
          <w:rFonts w:asciiTheme="minorHAnsi" w:hAnsiTheme="minorHAnsi" w:cstheme="minorHAnsi"/>
          <w:sz w:val="20"/>
          <w:szCs w:val="20"/>
          <w:lang w:val="en-US"/>
        </w:rPr>
        <w:t xml:space="preserve">not later than </w:t>
      </w:r>
      <w:r w:rsidR="00F509B8" w:rsidRPr="00F509B8">
        <w:rPr>
          <w:rFonts w:asciiTheme="minorHAnsi" w:hAnsiTheme="minorHAnsi" w:cstheme="minorHAnsi"/>
          <w:sz w:val="20"/>
          <w:szCs w:val="20"/>
          <w:lang w:val="en-US"/>
        </w:rPr>
        <w:t>No</w:t>
      </w:r>
      <w:r w:rsidR="00F509B8">
        <w:rPr>
          <w:rFonts w:asciiTheme="minorHAnsi" w:hAnsiTheme="minorHAnsi" w:cstheme="minorHAnsi"/>
          <w:sz w:val="20"/>
          <w:szCs w:val="20"/>
          <w:lang w:val="en-US"/>
        </w:rPr>
        <w:t xml:space="preserve">vember </w:t>
      </w:r>
      <w:r w:rsidR="00D91473">
        <w:rPr>
          <w:rFonts w:asciiTheme="minorHAnsi" w:hAnsiTheme="minorHAnsi" w:cstheme="minorHAnsi"/>
          <w:sz w:val="20"/>
          <w:szCs w:val="20"/>
          <w:lang w:val="en-US"/>
        </w:rPr>
        <w:t>30</w:t>
      </w:r>
      <w:r w:rsidR="00D91473" w:rsidRPr="00D91473">
        <w:rPr>
          <w:rFonts w:asciiTheme="minorHAnsi" w:hAnsiTheme="minorHAnsi" w:cstheme="minorHAnsi"/>
          <w:sz w:val="20"/>
          <w:szCs w:val="20"/>
          <w:vertAlign w:val="superscript"/>
          <w:lang w:val="en-US"/>
        </w:rPr>
        <w:t>th</w:t>
      </w:r>
      <w:r w:rsidR="00D91473">
        <w:rPr>
          <w:rFonts w:asciiTheme="minorHAnsi" w:hAnsiTheme="minorHAnsi" w:cstheme="minorHAnsi"/>
          <w:sz w:val="20"/>
          <w:szCs w:val="20"/>
          <w:lang w:val="en-US"/>
        </w:rPr>
        <w:t>,</w:t>
      </w:r>
      <w:r w:rsidR="00BE55DF" w:rsidRPr="00F509B8">
        <w:rPr>
          <w:rFonts w:asciiTheme="minorHAnsi" w:hAnsiTheme="minorHAnsi" w:cstheme="minorHAnsi"/>
          <w:sz w:val="20"/>
          <w:szCs w:val="20"/>
          <w:lang w:val="en-US"/>
        </w:rPr>
        <w:t xml:space="preserve"> 2021 </w:t>
      </w:r>
      <w:r w:rsidRPr="00F509B8">
        <w:rPr>
          <w:rFonts w:asciiTheme="minorHAnsi" w:hAnsiTheme="minorHAnsi" w:cstheme="minorHAnsi"/>
          <w:sz w:val="20"/>
          <w:szCs w:val="20"/>
          <w:lang w:val="en-US"/>
        </w:rPr>
        <w:t>at 23:59 EST</w:t>
      </w:r>
    </w:p>
    <w:p w14:paraId="50534327" w14:textId="67D034F7" w:rsidR="00642341" w:rsidRPr="00F509B8" w:rsidRDefault="00642341" w:rsidP="00642341">
      <w:pPr>
        <w:shd w:val="clear" w:color="auto" w:fill="EFEFEF"/>
        <w:textAlignment w:val="center"/>
        <w:rPr>
          <w:rFonts w:eastAsia="Times New Roman" w:cstheme="minorHAnsi"/>
          <w:color w:val="333E48"/>
          <w:sz w:val="20"/>
          <w:szCs w:val="20"/>
          <w:lang w:val="en-US"/>
        </w:rPr>
      </w:pPr>
      <w:r w:rsidRPr="00F509B8">
        <w:rPr>
          <w:rFonts w:cstheme="minorHAnsi"/>
          <w:sz w:val="20"/>
          <w:szCs w:val="20"/>
          <w:lang w:val="en-US"/>
        </w:rPr>
        <w:t xml:space="preserve">All applications must be submitted online by </w:t>
      </w:r>
      <w:r w:rsidR="00F95BEE" w:rsidRPr="00F509B8">
        <w:rPr>
          <w:rFonts w:cstheme="minorHAnsi"/>
          <w:sz w:val="20"/>
          <w:szCs w:val="20"/>
          <w:lang w:val="en-US"/>
        </w:rPr>
        <w:t>December</w:t>
      </w:r>
      <w:r w:rsidR="00BE55DF" w:rsidRPr="00F509B8">
        <w:rPr>
          <w:rFonts w:cstheme="minorHAnsi"/>
          <w:sz w:val="20"/>
          <w:szCs w:val="20"/>
          <w:lang w:val="en-US"/>
        </w:rPr>
        <w:t xml:space="preserve"> </w:t>
      </w:r>
      <w:r w:rsidR="00F925F6">
        <w:rPr>
          <w:rFonts w:cstheme="minorHAnsi"/>
          <w:sz w:val="20"/>
          <w:szCs w:val="20"/>
          <w:lang w:val="en-US"/>
        </w:rPr>
        <w:t>7th</w:t>
      </w:r>
      <w:r w:rsidR="00F95BEE" w:rsidRPr="00F509B8">
        <w:rPr>
          <w:rFonts w:cstheme="minorHAnsi"/>
          <w:sz w:val="20"/>
          <w:szCs w:val="20"/>
          <w:lang w:val="en-US"/>
        </w:rPr>
        <w:t>,</w:t>
      </w:r>
      <w:r w:rsidRPr="00F509B8">
        <w:rPr>
          <w:rFonts w:cstheme="minorHAnsi"/>
          <w:sz w:val="20"/>
          <w:szCs w:val="20"/>
          <w:lang w:val="en-US"/>
        </w:rPr>
        <w:t xml:space="preserve"> </w:t>
      </w:r>
      <w:r w:rsidR="00BE55DF" w:rsidRPr="00F509B8">
        <w:rPr>
          <w:rFonts w:cstheme="minorHAnsi"/>
          <w:sz w:val="20"/>
          <w:szCs w:val="20"/>
          <w:lang w:val="en-US"/>
        </w:rPr>
        <w:t>2</w:t>
      </w:r>
      <w:r w:rsidRPr="00F509B8">
        <w:rPr>
          <w:rFonts w:cstheme="minorHAnsi"/>
          <w:sz w:val="20"/>
          <w:szCs w:val="20"/>
          <w:lang w:val="en-US"/>
        </w:rPr>
        <w:t xml:space="preserve">021 EST 11:59 PM, the New York time zone)  on UNCDF online platform </w:t>
      </w:r>
      <w:hyperlink r:id="rId17" w:history="1">
        <w:r w:rsidR="000B0657" w:rsidRPr="000B0657">
          <w:rPr>
            <w:rStyle w:val="Hyperlink"/>
            <w:b/>
            <w:bCs/>
            <w:sz w:val="20"/>
            <w:szCs w:val="20"/>
          </w:rPr>
          <w:t>https://apply.uncdf.org/prog/btca_rfa_pakistanresponsible_and_inclusive_merchant_digitization_action_research_in_pakistan/</w:t>
        </w:r>
      </w:hyperlink>
      <w:r w:rsidR="000B0657" w:rsidRPr="000B0657">
        <w:rPr>
          <w:sz w:val="20"/>
          <w:szCs w:val="20"/>
        </w:rPr>
        <w:t xml:space="preserve"> </w:t>
      </w:r>
    </w:p>
    <w:p w14:paraId="25440B1B" w14:textId="77777777" w:rsidR="00642341" w:rsidRPr="00F509B8" w:rsidRDefault="00642341" w:rsidP="00642341">
      <w:pPr>
        <w:pStyle w:val="NormalWeb"/>
        <w:rPr>
          <w:rFonts w:asciiTheme="minorHAnsi" w:hAnsiTheme="minorHAnsi" w:cstheme="minorHAnsi"/>
          <w:sz w:val="20"/>
          <w:szCs w:val="20"/>
          <w:lang w:val="en-US"/>
        </w:rPr>
      </w:pPr>
      <w:r w:rsidRPr="00F509B8">
        <w:rPr>
          <w:rFonts w:asciiTheme="minorHAnsi" w:hAnsiTheme="minorHAnsi" w:cstheme="minorHAnsi"/>
          <w:sz w:val="20"/>
          <w:szCs w:val="20"/>
          <w:lang w:val="en-US"/>
        </w:rPr>
        <w:t>To ensure successful application to the RFA. Applicants shall consider the following notes:</w:t>
      </w:r>
    </w:p>
    <w:p w14:paraId="3E6ADFC7" w14:textId="77777777" w:rsidR="00642341" w:rsidRPr="00F509B8" w:rsidRDefault="00642341" w:rsidP="00642341">
      <w:pPr>
        <w:numPr>
          <w:ilvl w:val="0"/>
          <w:numId w:val="9"/>
        </w:numPr>
        <w:spacing w:before="100" w:beforeAutospacing="1" w:after="100" w:afterAutospacing="1"/>
        <w:rPr>
          <w:rFonts w:cstheme="minorHAnsi"/>
          <w:sz w:val="20"/>
          <w:szCs w:val="20"/>
          <w:lang w:val="en-US"/>
        </w:rPr>
      </w:pPr>
      <w:r w:rsidRPr="00F509B8">
        <w:rPr>
          <w:rFonts w:cstheme="minorHAnsi"/>
          <w:sz w:val="20"/>
          <w:szCs w:val="20"/>
          <w:lang w:val="en-US"/>
        </w:rPr>
        <w:t>Click on “Save as a draft” and “Save and continue editing” while working online.</w:t>
      </w:r>
    </w:p>
    <w:p w14:paraId="2517AE62" w14:textId="77777777" w:rsidR="00642341" w:rsidRPr="00F509B8" w:rsidRDefault="00642341" w:rsidP="00642341">
      <w:pPr>
        <w:numPr>
          <w:ilvl w:val="0"/>
          <w:numId w:val="9"/>
        </w:numPr>
        <w:spacing w:before="100" w:beforeAutospacing="1" w:after="100" w:afterAutospacing="1"/>
        <w:rPr>
          <w:rFonts w:cstheme="minorHAnsi"/>
          <w:sz w:val="20"/>
          <w:szCs w:val="20"/>
          <w:lang w:val="en-US"/>
        </w:rPr>
      </w:pPr>
      <w:r w:rsidRPr="00F509B8">
        <w:rPr>
          <w:rFonts w:cstheme="minorHAnsi"/>
          <w:sz w:val="20"/>
          <w:szCs w:val="20"/>
          <w:lang w:val="en-US"/>
        </w:rPr>
        <w:t>Applicants can add collaborators to the application.</w:t>
      </w:r>
    </w:p>
    <w:p w14:paraId="1889BE52" w14:textId="77777777" w:rsidR="00642341" w:rsidRPr="00F509B8" w:rsidRDefault="00642341" w:rsidP="00642341">
      <w:pPr>
        <w:numPr>
          <w:ilvl w:val="0"/>
          <w:numId w:val="9"/>
        </w:numPr>
        <w:spacing w:before="100" w:beforeAutospacing="1" w:after="100" w:afterAutospacing="1"/>
        <w:rPr>
          <w:rFonts w:cstheme="minorHAnsi"/>
          <w:sz w:val="20"/>
          <w:szCs w:val="20"/>
          <w:lang w:val="en-US"/>
        </w:rPr>
      </w:pPr>
      <w:r w:rsidRPr="00F509B8">
        <w:rPr>
          <w:rFonts w:cstheme="minorHAnsi"/>
          <w:sz w:val="20"/>
          <w:szCs w:val="20"/>
          <w:lang w:val="en-US"/>
        </w:rPr>
        <w:t>For successful completion of the application, the applicant shall click on the button</w:t>
      </w:r>
      <w:r w:rsidRPr="00F509B8">
        <w:rPr>
          <w:rStyle w:val="Strong"/>
          <w:rFonts w:cstheme="minorHAnsi"/>
          <w:b w:val="0"/>
          <w:bCs w:val="0"/>
          <w:sz w:val="20"/>
          <w:szCs w:val="20"/>
          <w:lang w:val="en-US"/>
        </w:rPr>
        <w:t> "Complete and Submit” </w:t>
      </w:r>
      <w:r w:rsidRPr="00F509B8">
        <w:rPr>
          <w:rFonts w:cstheme="minorHAnsi"/>
          <w:sz w:val="20"/>
          <w:szCs w:val="20"/>
          <w:lang w:val="en-US"/>
        </w:rPr>
        <w:t>of the application.</w:t>
      </w:r>
    </w:p>
    <w:p w14:paraId="775705A9" w14:textId="77777777" w:rsidR="00642341" w:rsidRPr="00F509B8" w:rsidRDefault="00642341" w:rsidP="00642341">
      <w:pPr>
        <w:numPr>
          <w:ilvl w:val="0"/>
          <w:numId w:val="9"/>
        </w:numPr>
        <w:spacing w:before="100" w:beforeAutospacing="1" w:after="100" w:afterAutospacing="1"/>
        <w:rPr>
          <w:rFonts w:cstheme="minorHAnsi"/>
          <w:sz w:val="20"/>
          <w:szCs w:val="20"/>
          <w:lang w:val="en-US"/>
        </w:rPr>
      </w:pPr>
      <w:r w:rsidRPr="00F509B8">
        <w:rPr>
          <w:rFonts w:cstheme="minorHAnsi"/>
          <w:sz w:val="20"/>
          <w:szCs w:val="20"/>
          <w:lang w:val="en-US"/>
        </w:rPr>
        <w:t>Upon the successful submission, applicants will receive automated notification on the successful submission of their application.</w:t>
      </w:r>
    </w:p>
    <w:p w14:paraId="6081153C" w14:textId="77777777" w:rsidR="00642341" w:rsidRPr="00F509B8" w:rsidRDefault="00642341" w:rsidP="00642341">
      <w:pPr>
        <w:numPr>
          <w:ilvl w:val="0"/>
          <w:numId w:val="9"/>
        </w:numPr>
        <w:spacing w:before="100" w:beforeAutospacing="1" w:after="100" w:afterAutospacing="1"/>
        <w:rPr>
          <w:rFonts w:cstheme="minorHAnsi"/>
          <w:sz w:val="20"/>
          <w:szCs w:val="20"/>
          <w:lang w:val="en-US"/>
        </w:rPr>
      </w:pPr>
      <w:r w:rsidRPr="00F509B8">
        <w:rPr>
          <w:rFonts w:cstheme="minorHAnsi"/>
          <w:sz w:val="20"/>
          <w:szCs w:val="20"/>
          <w:lang w:val="en-US"/>
        </w:rPr>
        <w:t xml:space="preserve">Guidance note on how to apply to the RFA is annexed to the RFA - </w:t>
      </w:r>
      <w:hyperlink r:id="rId18" w:history="1">
        <w:r w:rsidRPr="00F509B8">
          <w:rPr>
            <w:rStyle w:val="Strong"/>
            <w:rFonts w:cstheme="minorHAnsi"/>
            <w:b w:val="0"/>
            <w:bCs w:val="0"/>
            <w:color w:val="0000FF"/>
            <w:sz w:val="20"/>
            <w:szCs w:val="20"/>
            <w:u w:val="single"/>
            <w:lang w:val="en-US"/>
          </w:rPr>
          <w:t>Annex V (Guidance note on how to apply online using the E-investment Platform)</w:t>
        </w:r>
      </w:hyperlink>
    </w:p>
    <w:p w14:paraId="53188DEA" w14:textId="77777777" w:rsidR="00642341" w:rsidRPr="00F509B8" w:rsidRDefault="00642341" w:rsidP="00642341">
      <w:pPr>
        <w:pStyle w:val="NormalWeb"/>
        <w:rPr>
          <w:rFonts w:asciiTheme="minorHAnsi" w:hAnsiTheme="minorHAnsi" w:cstheme="minorHAnsi"/>
          <w:sz w:val="20"/>
          <w:szCs w:val="20"/>
          <w:lang w:val="en-US"/>
        </w:rPr>
      </w:pPr>
      <w:r w:rsidRPr="00F509B8">
        <w:rPr>
          <w:rStyle w:val="Strong"/>
          <w:rFonts w:asciiTheme="minorHAnsi" w:eastAsia="Calibri" w:hAnsiTheme="minorHAnsi" w:cstheme="minorHAnsi"/>
          <w:b w:val="0"/>
          <w:bCs w:val="0"/>
          <w:sz w:val="20"/>
          <w:szCs w:val="20"/>
          <w:lang w:val="en-US"/>
        </w:rPr>
        <w:t>When applying to the application, applicants will require to complete the two stages:</w:t>
      </w:r>
    </w:p>
    <w:p w14:paraId="70093228" w14:textId="77777777" w:rsidR="00642341" w:rsidRPr="00F95BEE" w:rsidRDefault="00642341" w:rsidP="00642341">
      <w:pPr>
        <w:numPr>
          <w:ilvl w:val="0"/>
          <w:numId w:val="10"/>
        </w:numPr>
        <w:spacing w:before="100" w:beforeAutospacing="1" w:after="100" w:afterAutospacing="1"/>
        <w:rPr>
          <w:rFonts w:cstheme="minorHAnsi"/>
          <w:sz w:val="20"/>
          <w:szCs w:val="20"/>
        </w:rPr>
      </w:pPr>
      <w:proofErr w:type="spellStart"/>
      <w:r w:rsidRPr="00F95BEE">
        <w:rPr>
          <w:rStyle w:val="Strong"/>
          <w:rFonts w:cstheme="minorHAnsi"/>
          <w:b w:val="0"/>
          <w:bCs w:val="0"/>
          <w:sz w:val="20"/>
          <w:szCs w:val="20"/>
        </w:rPr>
        <w:t>Stage</w:t>
      </w:r>
      <w:proofErr w:type="spellEnd"/>
      <w:r w:rsidRPr="00F95BEE">
        <w:rPr>
          <w:rStyle w:val="Strong"/>
          <w:rFonts w:cstheme="minorHAnsi"/>
          <w:b w:val="0"/>
          <w:bCs w:val="0"/>
          <w:sz w:val="20"/>
          <w:szCs w:val="20"/>
        </w:rPr>
        <w:t xml:space="preserve"> 1 “</w:t>
      </w:r>
      <w:proofErr w:type="spellStart"/>
      <w:r w:rsidRPr="00F95BEE">
        <w:rPr>
          <w:rStyle w:val="Strong"/>
          <w:rFonts w:cstheme="minorHAnsi"/>
          <w:b w:val="0"/>
          <w:bCs w:val="0"/>
          <w:sz w:val="20"/>
          <w:szCs w:val="20"/>
        </w:rPr>
        <w:t>Pre-screening</w:t>
      </w:r>
      <w:proofErr w:type="spellEnd"/>
      <w:r w:rsidRPr="00F95BEE">
        <w:rPr>
          <w:rStyle w:val="Strong"/>
          <w:rFonts w:cstheme="minorHAnsi"/>
          <w:b w:val="0"/>
          <w:bCs w:val="0"/>
          <w:sz w:val="20"/>
          <w:szCs w:val="20"/>
        </w:rPr>
        <w:t xml:space="preserve"> </w:t>
      </w:r>
      <w:proofErr w:type="spellStart"/>
      <w:r w:rsidRPr="00F95BEE">
        <w:rPr>
          <w:rStyle w:val="Strong"/>
          <w:rFonts w:cstheme="minorHAnsi"/>
          <w:b w:val="0"/>
          <w:bCs w:val="0"/>
          <w:sz w:val="20"/>
          <w:szCs w:val="20"/>
        </w:rPr>
        <w:t>Questions</w:t>
      </w:r>
      <w:proofErr w:type="spellEnd"/>
      <w:r w:rsidRPr="00F95BEE">
        <w:rPr>
          <w:rFonts w:cstheme="minorHAnsi"/>
          <w:sz w:val="20"/>
          <w:szCs w:val="20"/>
        </w:rPr>
        <w:t>”:</w:t>
      </w:r>
    </w:p>
    <w:p w14:paraId="2BD614CE" w14:textId="77777777" w:rsidR="00642341" w:rsidRPr="00F509B8" w:rsidRDefault="00642341" w:rsidP="00642341">
      <w:pPr>
        <w:pStyle w:val="NormalWeb"/>
        <w:rPr>
          <w:rFonts w:asciiTheme="minorHAnsi" w:hAnsiTheme="minorHAnsi" w:cstheme="minorHAnsi"/>
          <w:sz w:val="20"/>
          <w:szCs w:val="20"/>
          <w:lang w:val="en-US"/>
        </w:rPr>
      </w:pPr>
      <w:r w:rsidRPr="00F509B8">
        <w:rPr>
          <w:rFonts w:asciiTheme="minorHAnsi" w:hAnsiTheme="minorHAnsi" w:cstheme="minorHAnsi"/>
          <w:sz w:val="20"/>
          <w:szCs w:val="20"/>
          <w:lang w:val="en-US"/>
        </w:rPr>
        <w:t>Applicants will need to fill in the online pre-screening questions and upload the required documents “where needed”. Note that once the “Mark as completed” button is clicked, you can no further introduce any change to this section.</w:t>
      </w:r>
    </w:p>
    <w:p w14:paraId="4EE8E872" w14:textId="77777777" w:rsidR="00642341" w:rsidRPr="00F95BEE" w:rsidRDefault="00642341" w:rsidP="00642341">
      <w:pPr>
        <w:numPr>
          <w:ilvl w:val="0"/>
          <w:numId w:val="11"/>
        </w:numPr>
        <w:spacing w:before="100" w:beforeAutospacing="1" w:after="100" w:afterAutospacing="1"/>
        <w:rPr>
          <w:rFonts w:cstheme="minorHAnsi"/>
          <w:sz w:val="20"/>
          <w:szCs w:val="20"/>
        </w:rPr>
      </w:pPr>
      <w:proofErr w:type="spellStart"/>
      <w:r w:rsidRPr="00F95BEE">
        <w:rPr>
          <w:rStyle w:val="Strong"/>
          <w:rFonts w:cstheme="minorHAnsi"/>
          <w:b w:val="0"/>
          <w:bCs w:val="0"/>
          <w:sz w:val="20"/>
          <w:szCs w:val="20"/>
        </w:rPr>
        <w:t>Stage</w:t>
      </w:r>
      <w:proofErr w:type="spellEnd"/>
      <w:r w:rsidRPr="00F95BEE">
        <w:rPr>
          <w:rStyle w:val="Strong"/>
          <w:rFonts w:cstheme="minorHAnsi"/>
          <w:b w:val="0"/>
          <w:bCs w:val="0"/>
          <w:sz w:val="20"/>
          <w:szCs w:val="20"/>
        </w:rPr>
        <w:t xml:space="preserve"> 2: “</w:t>
      </w:r>
      <w:proofErr w:type="spellStart"/>
      <w:r w:rsidRPr="00F95BEE">
        <w:rPr>
          <w:rStyle w:val="Strong"/>
          <w:rFonts w:cstheme="minorHAnsi"/>
          <w:b w:val="0"/>
          <w:bCs w:val="0"/>
          <w:sz w:val="20"/>
          <w:szCs w:val="20"/>
        </w:rPr>
        <w:t>Main</w:t>
      </w:r>
      <w:proofErr w:type="spellEnd"/>
      <w:r w:rsidRPr="00F95BEE">
        <w:rPr>
          <w:rStyle w:val="Strong"/>
          <w:rFonts w:cstheme="minorHAnsi"/>
          <w:b w:val="0"/>
          <w:bCs w:val="0"/>
          <w:sz w:val="20"/>
          <w:szCs w:val="20"/>
        </w:rPr>
        <w:t xml:space="preserve"> </w:t>
      </w:r>
      <w:proofErr w:type="spellStart"/>
      <w:r w:rsidRPr="00F95BEE">
        <w:rPr>
          <w:rStyle w:val="Strong"/>
          <w:rFonts w:cstheme="minorHAnsi"/>
          <w:b w:val="0"/>
          <w:bCs w:val="0"/>
          <w:sz w:val="20"/>
          <w:szCs w:val="20"/>
        </w:rPr>
        <w:t>Application</w:t>
      </w:r>
      <w:proofErr w:type="spellEnd"/>
      <w:r w:rsidRPr="00F95BEE">
        <w:rPr>
          <w:rStyle w:val="Strong"/>
          <w:rFonts w:cstheme="minorHAnsi"/>
          <w:b w:val="0"/>
          <w:bCs w:val="0"/>
          <w:sz w:val="20"/>
          <w:szCs w:val="20"/>
        </w:rPr>
        <w:t>” </w:t>
      </w:r>
    </w:p>
    <w:p w14:paraId="582A2D70" w14:textId="77777777" w:rsidR="00642341" w:rsidRPr="00F509B8" w:rsidRDefault="00642341" w:rsidP="00642341">
      <w:pPr>
        <w:pStyle w:val="NormalWeb"/>
        <w:rPr>
          <w:rFonts w:asciiTheme="minorHAnsi" w:hAnsiTheme="minorHAnsi" w:cstheme="minorHAnsi"/>
          <w:sz w:val="20"/>
          <w:szCs w:val="20"/>
          <w:lang w:val="en-US"/>
        </w:rPr>
      </w:pPr>
      <w:r w:rsidRPr="00F509B8">
        <w:rPr>
          <w:rFonts w:asciiTheme="minorHAnsi" w:hAnsiTheme="minorHAnsi" w:cstheme="minorHAnsi"/>
          <w:sz w:val="20"/>
          <w:szCs w:val="20"/>
          <w:lang w:val="en-US"/>
        </w:rPr>
        <w:t>Under this section, applicants will provide information on the:</w:t>
      </w:r>
    </w:p>
    <w:p w14:paraId="651DFB3A" w14:textId="77777777" w:rsidR="00642341" w:rsidRPr="00F509B8" w:rsidRDefault="00642341" w:rsidP="00642341">
      <w:pPr>
        <w:numPr>
          <w:ilvl w:val="0"/>
          <w:numId w:val="12"/>
        </w:numPr>
        <w:spacing w:before="100" w:beforeAutospacing="1" w:after="100" w:afterAutospacing="1"/>
        <w:rPr>
          <w:rFonts w:cstheme="minorHAnsi"/>
          <w:sz w:val="20"/>
          <w:szCs w:val="20"/>
          <w:lang w:val="en-US"/>
        </w:rPr>
      </w:pPr>
      <w:r w:rsidRPr="00F509B8">
        <w:rPr>
          <w:rFonts w:cstheme="minorHAnsi"/>
          <w:sz w:val="20"/>
          <w:szCs w:val="20"/>
          <w:lang w:val="en-US"/>
        </w:rPr>
        <w:t>Address and information of their organization</w:t>
      </w:r>
    </w:p>
    <w:p w14:paraId="4A3BBC3B" w14:textId="77777777" w:rsidR="00642341" w:rsidRPr="00F509B8" w:rsidRDefault="00642341" w:rsidP="00642341">
      <w:pPr>
        <w:numPr>
          <w:ilvl w:val="0"/>
          <w:numId w:val="12"/>
        </w:numPr>
        <w:spacing w:before="100" w:beforeAutospacing="1" w:after="100" w:afterAutospacing="1"/>
        <w:rPr>
          <w:rFonts w:cstheme="minorHAnsi"/>
          <w:sz w:val="20"/>
          <w:szCs w:val="20"/>
          <w:lang w:val="en-US"/>
        </w:rPr>
      </w:pPr>
      <w:r w:rsidRPr="00F509B8">
        <w:rPr>
          <w:rFonts w:cstheme="minorHAnsi"/>
          <w:sz w:val="20"/>
          <w:szCs w:val="20"/>
          <w:lang w:val="en-US"/>
        </w:rPr>
        <w:t>There is a hyperlink “</w:t>
      </w:r>
      <w:r w:rsidRPr="00F509B8">
        <w:rPr>
          <w:rStyle w:val="Strong"/>
          <w:rFonts w:cstheme="minorHAnsi"/>
          <w:b w:val="0"/>
          <w:bCs w:val="0"/>
          <w:sz w:val="20"/>
          <w:szCs w:val="20"/>
          <w:lang w:val="en-US"/>
        </w:rPr>
        <w:t>Technical Proposal Template</w:t>
      </w:r>
      <w:r w:rsidRPr="00F509B8">
        <w:rPr>
          <w:rFonts w:cstheme="minorHAnsi"/>
          <w:sz w:val="20"/>
          <w:szCs w:val="20"/>
          <w:lang w:val="en-US"/>
        </w:rPr>
        <w:t>”. Applicants shall click the link to download the proposal template; fill in the information required; click on the button “Upload a file” to upload the proposal.</w:t>
      </w:r>
    </w:p>
    <w:p w14:paraId="70B10D4E" w14:textId="77777777" w:rsidR="00642341" w:rsidRPr="00F509B8" w:rsidRDefault="00642341" w:rsidP="00642341">
      <w:pPr>
        <w:numPr>
          <w:ilvl w:val="0"/>
          <w:numId w:val="12"/>
        </w:numPr>
        <w:spacing w:before="100" w:beforeAutospacing="1" w:after="100" w:afterAutospacing="1"/>
        <w:rPr>
          <w:rFonts w:cstheme="minorHAnsi"/>
          <w:sz w:val="20"/>
          <w:szCs w:val="20"/>
          <w:lang w:val="en-US"/>
        </w:rPr>
      </w:pPr>
      <w:r w:rsidRPr="00F509B8">
        <w:rPr>
          <w:rStyle w:val="Strong"/>
          <w:rFonts w:cstheme="minorHAnsi"/>
          <w:b w:val="0"/>
          <w:bCs w:val="0"/>
          <w:sz w:val="20"/>
          <w:szCs w:val="20"/>
          <w:lang w:val="en-US"/>
        </w:rPr>
        <w:t>CV template</w:t>
      </w:r>
      <w:r w:rsidRPr="00F509B8">
        <w:rPr>
          <w:rFonts w:cstheme="minorHAnsi"/>
          <w:sz w:val="20"/>
          <w:szCs w:val="20"/>
          <w:lang w:val="en-US"/>
        </w:rPr>
        <w:t>. The applicant will download the templates, fill in the information and upload the filled-in CVs.</w:t>
      </w:r>
    </w:p>
    <w:p w14:paraId="53585C6D" w14:textId="77777777" w:rsidR="00642341" w:rsidRPr="00F509B8" w:rsidRDefault="00642341" w:rsidP="00642341">
      <w:pPr>
        <w:numPr>
          <w:ilvl w:val="0"/>
          <w:numId w:val="12"/>
        </w:numPr>
        <w:spacing w:before="100" w:beforeAutospacing="1" w:after="100" w:afterAutospacing="1"/>
        <w:rPr>
          <w:rFonts w:cstheme="minorHAnsi"/>
          <w:sz w:val="20"/>
          <w:szCs w:val="20"/>
          <w:lang w:val="en-US"/>
        </w:rPr>
      </w:pPr>
      <w:r w:rsidRPr="00F509B8">
        <w:rPr>
          <w:rStyle w:val="Strong"/>
          <w:rFonts w:cstheme="minorHAnsi"/>
          <w:b w:val="0"/>
          <w:bCs w:val="0"/>
          <w:sz w:val="20"/>
          <w:szCs w:val="20"/>
          <w:lang w:val="en-US"/>
        </w:rPr>
        <w:t>Project Budget</w:t>
      </w:r>
      <w:r w:rsidRPr="00F509B8">
        <w:rPr>
          <w:rFonts w:cstheme="minorHAnsi"/>
          <w:sz w:val="20"/>
          <w:szCs w:val="20"/>
          <w:lang w:val="en-US"/>
        </w:rPr>
        <w:t xml:space="preserve"> template. Applicants can download the budget template, prepare the </w:t>
      </w:r>
      <w:proofErr w:type="gramStart"/>
      <w:r w:rsidRPr="00F509B8">
        <w:rPr>
          <w:rFonts w:cstheme="minorHAnsi"/>
          <w:sz w:val="20"/>
          <w:szCs w:val="20"/>
          <w:lang w:val="en-US"/>
        </w:rPr>
        <w:t>budget</w:t>
      </w:r>
      <w:proofErr w:type="gramEnd"/>
      <w:r w:rsidRPr="00F509B8">
        <w:rPr>
          <w:rFonts w:cstheme="minorHAnsi"/>
          <w:sz w:val="20"/>
          <w:szCs w:val="20"/>
          <w:lang w:val="en-US"/>
        </w:rPr>
        <w:t xml:space="preserve"> and upload it to the platform.</w:t>
      </w:r>
    </w:p>
    <w:p w14:paraId="7FDE9B6F" w14:textId="77777777" w:rsidR="00642341" w:rsidRPr="00F509B8" w:rsidRDefault="00642341" w:rsidP="00642341">
      <w:pPr>
        <w:numPr>
          <w:ilvl w:val="0"/>
          <w:numId w:val="12"/>
        </w:numPr>
        <w:spacing w:before="100" w:beforeAutospacing="1" w:after="100" w:afterAutospacing="1"/>
        <w:rPr>
          <w:rFonts w:cstheme="minorHAnsi"/>
          <w:sz w:val="20"/>
          <w:szCs w:val="20"/>
          <w:lang w:val="en-US"/>
        </w:rPr>
      </w:pPr>
      <w:r w:rsidRPr="00F509B8">
        <w:rPr>
          <w:rFonts w:cstheme="minorHAnsi"/>
          <w:sz w:val="20"/>
          <w:szCs w:val="20"/>
          <w:lang w:val="en-US"/>
        </w:rPr>
        <w:t>Sign-off the Declaration of Conformity </w:t>
      </w:r>
    </w:p>
    <w:p w14:paraId="19FDE95D" w14:textId="77777777" w:rsidR="00642341" w:rsidRPr="00F509B8" w:rsidRDefault="00642341" w:rsidP="00642341">
      <w:pPr>
        <w:numPr>
          <w:ilvl w:val="0"/>
          <w:numId w:val="12"/>
        </w:numPr>
        <w:spacing w:before="100" w:beforeAutospacing="1" w:after="100" w:afterAutospacing="1"/>
        <w:rPr>
          <w:rFonts w:cstheme="minorHAnsi"/>
          <w:sz w:val="20"/>
          <w:szCs w:val="20"/>
          <w:lang w:val="en-US"/>
        </w:rPr>
      </w:pPr>
      <w:r w:rsidRPr="00F509B8">
        <w:rPr>
          <w:rFonts w:cstheme="minorHAnsi"/>
          <w:sz w:val="20"/>
          <w:szCs w:val="20"/>
          <w:lang w:val="en-US"/>
        </w:rPr>
        <w:t>Click on “Mark as Completed”.</w:t>
      </w:r>
    </w:p>
    <w:p w14:paraId="3CEE47F6" w14:textId="77777777" w:rsidR="00642341" w:rsidRPr="00F95BEE" w:rsidRDefault="00642341" w:rsidP="00642341">
      <w:pPr>
        <w:numPr>
          <w:ilvl w:val="0"/>
          <w:numId w:val="12"/>
        </w:numPr>
        <w:spacing w:before="100" w:beforeAutospacing="1" w:after="100" w:afterAutospacing="1"/>
        <w:rPr>
          <w:rFonts w:cstheme="minorHAnsi"/>
          <w:sz w:val="20"/>
          <w:szCs w:val="20"/>
        </w:rPr>
      </w:pPr>
      <w:proofErr w:type="spellStart"/>
      <w:r w:rsidRPr="00F95BEE">
        <w:rPr>
          <w:rFonts w:cstheme="minorHAnsi"/>
          <w:sz w:val="20"/>
          <w:szCs w:val="20"/>
        </w:rPr>
        <w:t>Submit</w:t>
      </w:r>
      <w:proofErr w:type="spellEnd"/>
    </w:p>
    <w:p w14:paraId="1C4B8488" w14:textId="37315250" w:rsidR="00642341" w:rsidRPr="00F509B8" w:rsidRDefault="00642341" w:rsidP="00642341">
      <w:pPr>
        <w:pStyle w:val="NormalWeb"/>
        <w:rPr>
          <w:rStyle w:val="Strong"/>
          <w:rFonts w:asciiTheme="minorHAnsi" w:eastAsia="Calibri" w:hAnsiTheme="minorHAnsi" w:cstheme="minorHAnsi"/>
          <w:b w:val="0"/>
          <w:bCs w:val="0"/>
          <w:sz w:val="20"/>
          <w:szCs w:val="20"/>
          <w:lang w:val="en-US"/>
        </w:rPr>
      </w:pPr>
      <w:r w:rsidRPr="00F509B8">
        <w:rPr>
          <w:rFonts w:asciiTheme="minorHAnsi" w:hAnsiTheme="minorHAnsi" w:cstheme="minorHAnsi"/>
          <w:sz w:val="20"/>
          <w:szCs w:val="20"/>
          <w:lang w:val="en-US"/>
        </w:rPr>
        <w:t xml:space="preserve">The application deadline is </w:t>
      </w:r>
      <w:r w:rsidR="00CB428A">
        <w:rPr>
          <w:rStyle w:val="Strong"/>
          <w:rFonts w:asciiTheme="minorHAnsi" w:eastAsia="Calibri" w:hAnsiTheme="minorHAnsi" w:cstheme="minorHAnsi"/>
          <w:b w:val="0"/>
          <w:bCs w:val="0"/>
          <w:sz w:val="20"/>
          <w:szCs w:val="20"/>
          <w:lang w:val="en-US"/>
        </w:rPr>
        <w:t>December</w:t>
      </w:r>
      <w:r w:rsidR="00BE55DF" w:rsidRPr="00F509B8">
        <w:rPr>
          <w:rStyle w:val="Strong"/>
          <w:rFonts w:asciiTheme="minorHAnsi" w:eastAsia="Calibri" w:hAnsiTheme="minorHAnsi" w:cstheme="minorHAnsi"/>
          <w:b w:val="0"/>
          <w:bCs w:val="0"/>
          <w:sz w:val="20"/>
          <w:szCs w:val="20"/>
          <w:lang w:val="en-US"/>
        </w:rPr>
        <w:t xml:space="preserve"> </w:t>
      </w:r>
      <w:r w:rsidR="00CB428A">
        <w:rPr>
          <w:rStyle w:val="Strong"/>
          <w:rFonts w:asciiTheme="minorHAnsi" w:eastAsia="Calibri" w:hAnsiTheme="minorHAnsi" w:cstheme="minorHAnsi"/>
          <w:b w:val="0"/>
          <w:bCs w:val="0"/>
          <w:sz w:val="20"/>
          <w:szCs w:val="20"/>
          <w:lang w:val="en-US"/>
        </w:rPr>
        <w:t>7</w:t>
      </w:r>
      <w:r w:rsidR="00CB428A" w:rsidRPr="00CB428A">
        <w:rPr>
          <w:rStyle w:val="Strong"/>
          <w:rFonts w:asciiTheme="minorHAnsi" w:eastAsia="Calibri" w:hAnsiTheme="minorHAnsi" w:cstheme="minorHAnsi"/>
          <w:b w:val="0"/>
          <w:bCs w:val="0"/>
          <w:sz w:val="20"/>
          <w:szCs w:val="20"/>
          <w:vertAlign w:val="superscript"/>
          <w:lang w:val="en-US"/>
        </w:rPr>
        <w:t>th</w:t>
      </w:r>
      <w:proofErr w:type="gramStart"/>
      <w:r w:rsidR="00CB428A">
        <w:rPr>
          <w:rStyle w:val="Strong"/>
          <w:rFonts w:asciiTheme="minorHAnsi" w:eastAsia="Calibri" w:hAnsiTheme="minorHAnsi" w:cstheme="minorHAnsi"/>
          <w:b w:val="0"/>
          <w:bCs w:val="0"/>
          <w:sz w:val="20"/>
          <w:szCs w:val="20"/>
          <w:lang w:val="en-US"/>
        </w:rPr>
        <w:t xml:space="preserve"> </w:t>
      </w:r>
      <w:r w:rsidR="00BE55DF" w:rsidRPr="00F509B8">
        <w:rPr>
          <w:rStyle w:val="Strong"/>
          <w:rFonts w:asciiTheme="minorHAnsi" w:eastAsia="Calibri" w:hAnsiTheme="minorHAnsi" w:cstheme="minorHAnsi"/>
          <w:b w:val="0"/>
          <w:bCs w:val="0"/>
          <w:sz w:val="20"/>
          <w:szCs w:val="20"/>
          <w:lang w:val="en-US"/>
        </w:rPr>
        <w:t>2021</w:t>
      </w:r>
      <w:proofErr w:type="gramEnd"/>
      <w:r w:rsidRPr="00F509B8">
        <w:rPr>
          <w:rFonts w:asciiTheme="minorHAnsi" w:hAnsiTheme="minorHAnsi" w:cstheme="minorHAnsi"/>
          <w:sz w:val="20"/>
          <w:szCs w:val="20"/>
          <w:lang w:val="en-US"/>
        </w:rPr>
        <w:t xml:space="preserve">, </w:t>
      </w:r>
      <w:r w:rsidRPr="00F509B8">
        <w:rPr>
          <w:rStyle w:val="Strong"/>
          <w:rFonts w:asciiTheme="minorHAnsi" w:eastAsia="Calibri" w:hAnsiTheme="minorHAnsi" w:cstheme="minorHAnsi"/>
          <w:b w:val="0"/>
          <w:bCs w:val="0"/>
          <w:sz w:val="20"/>
          <w:szCs w:val="20"/>
          <w:lang w:val="en-US"/>
        </w:rPr>
        <w:t>Time: 23:59 EST. </w:t>
      </w:r>
      <w:r w:rsidRPr="00F509B8">
        <w:rPr>
          <w:rFonts w:asciiTheme="minorHAnsi" w:hAnsiTheme="minorHAnsi" w:cstheme="minorHAnsi"/>
          <w:sz w:val="20"/>
          <w:szCs w:val="20"/>
          <w:lang w:val="en-US"/>
        </w:rPr>
        <w:t xml:space="preserve">For more information about this RFA, you </w:t>
      </w:r>
      <w:r w:rsidR="00A55A84">
        <w:rPr>
          <w:rFonts w:asciiTheme="minorHAnsi" w:hAnsiTheme="minorHAnsi" w:cstheme="minorHAnsi"/>
          <w:sz w:val="20"/>
          <w:szCs w:val="20"/>
          <w:lang w:val="en-US"/>
        </w:rPr>
        <w:t xml:space="preserve">may visit </w:t>
      </w:r>
      <w:r w:rsidRPr="00F509B8">
        <w:rPr>
          <w:rStyle w:val="Strong"/>
          <w:rFonts w:asciiTheme="minorHAnsi" w:eastAsia="Calibri" w:hAnsiTheme="minorHAnsi" w:cstheme="minorHAnsi"/>
          <w:b w:val="0"/>
          <w:bCs w:val="0"/>
          <w:sz w:val="20"/>
          <w:szCs w:val="20"/>
          <w:lang w:val="en-US"/>
        </w:rPr>
        <w:t>www.uncdf.org</w:t>
      </w:r>
    </w:p>
    <w:p w14:paraId="5550BC19" w14:textId="1E4EC3A7" w:rsidR="00642341" w:rsidRPr="00F509B8" w:rsidRDefault="00642341" w:rsidP="00642341">
      <w:pPr>
        <w:shd w:val="clear" w:color="auto" w:fill="EFEFEF"/>
        <w:textAlignment w:val="center"/>
        <w:rPr>
          <w:rFonts w:eastAsia="Times New Roman" w:cstheme="minorHAnsi"/>
          <w:color w:val="333E48"/>
          <w:sz w:val="20"/>
          <w:szCs w:val="20"/>
          <w:lang w:val="en-US"/>
        </w:rPr>
      </w:pPr>
      <w:r w:rsidRPr="00F509B8">
        <w:rPr>
          <w:rStyle w:val="Strong"/>
          <w:rFonts w:eastAsia="Calibri" w:cstheme="minorHAnsi"/>
          <w:b w:val="0"/>
          <w:bCs w:val="0"/>
          <w:sz w:val="20"/>
          <w:szCs w:val="20"/>
          <w:lang w:val="en-US"/>
        </w:rPr>
        <w:t xml:space="preserve">You can apply online by clicking on the following link: </w:t>
      </w:r>
      <w:hyperlink r:id="rId19" w:history="1">
        <w:r w:rsidR="000B0657" w:rsidRPr="000B0657">
          <w:rPr>
            <w:rStyle w:val="Hyperlink"/>
            <w:b/>
            <w:bCs/>
            <w:sz w:val="20"/>
            <w:szCs w:val="20"/>
          </w:rPr>
          <w:t>https://apply.uncdf.org/prog/btca_rfa_pakistanresponsible_and_inclusive_merchant_digitization_action_research_in_pakistan/</w:t>
        </w:r>
      </w:hyperlink>
      <w:r w:rsidR="000B0657" w:rsidRPr="000B0657">
        <w:rPr>
          <w:sz w:val="20"/>
          <w:szCs w:val="20"/>
        </w:rPr>
        <w:t xml:space="preserve"> </w:t>
      </w:r>
    </w:p>
    <w:p w14:paraId="3B305879" w14:textId="77777777" w:rsidR="00D606CA" w:rsidRPr="00F95BEE" w:rsidRDefault="00D606CA" w:rsidP="00644451">
      <w:pPr>
        <w:shd w:val="clear" w:color="auto" w:fill="FFFFFF"/>
        <w:ind w:left="-284"/>
        <w:jc w:val="both"/>
        <w:rPr>
          <w:rFonts w:cstheme="minorHAnsi"/>
          <w:sz w:val="20"/>
          <w:szCs w:val="20"/>
          <w:lang w:val="en-US"/>
        </w:rPr>
      </w:pPr>
    </w:p>
    <w:sectPr w:rsidR="00D606CA" w:rsidRPr="00F95BEE" w:rsidSect="00777F6A">
      <w:headerReference w:type="default" r:id="rId20"/>
      <w:pgSz w:w="12240" w:h="15840"/>
      <w:pgMar w:top="1417" w:right="1701" w:bottom="67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BB7C0" w14:textId="77777777" w:rsidR="004F47B2" w:rsidRDefault="004F47B2" w:rsidP="00777F6A">
      <w:r>
        <w:separator/>
      </w:r>
    </w:p>
  </w:endnote>
  <w:endnote w:type="continuationSeparator" w:id="0">
    <w:p w14:paraId="51B63142" w14:textId="77777777" w:rsidR="004F47B2" w:rsidRDefault="004F47B2" w:rsidP="0077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rbel,Calibri">
    <w:altName w:val="Corbel"/>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86274" w14:textId="77777777" w:rsidR="004F47B2" w:rsidRDefault="004F47B2" w:rsidP="00777F6A">
      <w:r>
        <w:separator/>
      </w:r>
    </w:p>
  </w:footnote>
  <w:footnote w:type="continuationSeparator" w:id="0">
    <w:p w14:paraId="3B71C048" w14:textId="77777777" w:rsidR="004F47B2" w:rsidRDefault="004F47B2" w:rsidP="00777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E00BC" w14:textId="0AA82890" w:rsidR="00777F6A" w:rsidRPr="00777F6A" w:rsidRDefault="00777F6A" w:rsidP="00777F6A">
    <w:pPr>
      <w:pStyle w:val="Header"/>
      <w:jc w:val="right"/>
    </w:pPr>
    <w:r w:rsidRPr="00B239F9">
      <w:rPr>
        <w:rStyle w:val="Heading1Char"/>
        <w:rFonts w:ascii="Corbel" w:eastAsia="Corbel" w:hAnsi="Corbel" w:cs="Corbel"/>
        <w:b w:val="0"/>
        <w:bCs w:val="0"/>
        <w:noProof/>
        <w:color w:val="00B3B5"/>
        <w:sz w:val="18"/>
        <w:szCs w:val="18"/>
        <w:u w:color="00B3B5"/>
      </w:rPr>
      <w:drawing>
        <wp:inline distT="0" distB="0" distL="0" distR="0" wp14:anchorId="7028D601" wp14:editId="69A6DF52">
          <wp:extent cx="2679700" cy="7120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90444" cy="714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118D"/>
    <w:multiLevelType w:val="multilevel"/>
    <w:tmpl w:val="0C1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3D13"/>
    <w:multiLevelType w:val="hybridMultilevel"/>
    <w:tmpl w:val="FCCA79CA"/>
    <w:lvl w:ilvl="0" w:tplc="0409000D">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AC13FFF"/>
    <w:multiLevelType w:val="hybridMultilevel"/>
    <w:tmpl w:val="CCFA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01A6F"/>
    <w:multiLevelType w:val="multilevel"/>
    <w:tmpl w:val="88824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35C4D"/>
    <w:multiLevelType w:val="multilevel"/>
    <w:tmpl w:val="96D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A5C71"/>
    <w:multiLevelType w:val="multilevel"/>
    <w:tmpl w:val="3AE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0797F"/>
    <w:multiLevelType w:val="multilevel"/>
    <w:tmpl w:val="B402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D614A7"/>
    <w:multiLevelType w:val="multilevel"/>
    <w:tmpl w:val="FAE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4E6D6A"/>
    <w:multiLevelType w:val="multilevel"/>
    <w:tmpl w:val="A92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050AC"/>
    <w:multiLevelType w:val="hybridMultilevel"/>
    <w:tmpl w:val="331E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362BD"/>
    <w:multiLevelType w:val="multilevel"/>
    <w:tmpl w:val="724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AA045B"/>
    <w:multiLevelType w:val="multilevel"/>
    <w:tmpl w:val="775E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D7339"/>
    <w:multiLevelType w:val="multilevel"/>
    <w:tmpl w:val="4A18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
  </w:num>
  <w:num w:numId="4">
    <w:abstractNumId w:val="6"/>
  </w:num>
  <w:num w:numId="5">
    <w:abstractNumId w:val="0"/>
  </w:num>
  <w:num w:numId="6">
    <w:abstractNumId w:val="10"/>
  </w:num>
  <w:num w:numId="7">
    <w:abstractNumId w:val="3"/>
  </w:num>
  <w:num w:numId="8">
    <w:abstractNumId w:val="12"/>
  </w:num>
  <w:num w:numId="9">
    <w:abstractNumId w:val="7"/>
  </w:num>
  <w:num w:numId="10">
    <w:abstractNumId w:val="4"/>
  </w:num>
  <w:num w:numId="11">
    <w:abstractNumId w:val="5"/>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CA"/>
    <w:rsid w:val="000A711B"/>
    <w:rsid w:val="000B0657"/>
    <w:rsid w:val="00113673"/>
    <w:rsid w:val="001B5D25"/>
    <w:rsid w:val="001B7B55"/>
    <w:rsid w:val="002833B8"/>
    <w:rsid w:val="002E73D9"/>
    <w:rsid w:val="003478E4"/>
    <w:rsid w:val="00411764"/>
    <w:rsid w:val="004F47B2"/>
    <w:rsid w:val="005E65D3"/>
    <w:rsid w:val="005F66D2"/>
    <w:rsid w:val="00642341"/>
    <w:rsid w:val="00644451"/>
    <w:rsid w:val="006E5F28"/>
    <w:rsid w:val="00755AA5"/>
    <w:rsid w:val="00777F6A"/>
    <w:rsid w:val="007E5797"/>
    <w:rsid w:val="00821943"/>
    <w:rsid w:val="00892D4E"/>
    <w:rsid w:val="00A34F54"/>
    <w:rsid w:val="00A55A84"/>
    <w:rsid w:val="00A576CC"/>
    <w:rsid w:val="00B51949"/>
    <w:rsid w:val="00B677F1"/>
    <w:rsid w:val="00BE55DF"/>
    <w:rsid w:val="00C169CC"/>
    <w:rsid w:val="00C82530"/>
    <w:rsid w:val="00CB428A"/>
    <w:rsid w:val="00CD0DD7"/>
    <w:rsid w:val="00CD754A"/>
    <w:rsid w:val="00D606CA"/>
    <w:rsid w:val="00D91473"/>
    <w:rsid w:val="00E222F1"/>
    <w:rsid w:val="00F509B8"/>
    <w:rsid w:val="00F925F6"/>
    <w:rsid w:val="00F95BE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40E2"/>
  <w15:chartTrackingRefBased/>
  <w15:docId w15:val="{74370EBB-943D-2B47-83E1-21F0FB03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77F6A"/>
    <w:pPr>
      <w:widowControl w:val="0"/>
      <w:autoSpaceDE w:val="0"/>
      <w:autoSpaceDN w:val="0"/>
      <w:spacing w:before="68"/>
      <w:ind w:left="100"/>
      <w:outlineLvl w:val="0"/>
    </w:pPr>
    <w:rPr>
      <w:rFonts w:ascii="Arial" w:eastAsia="Arial" w:hAnsi="Arial" w:cs="Arial"/>
      <w:b/>
      <w:bCs/>
      <w:sz w:val="50"/>
      <w:szCs w:val="5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6CA"/>
    <w:pPr>
      <w:spacing w:before="100" w:beforeAutospacing="1" w:after="100" w:afterAutospacing="1"/>
    </w:pPr>
    <w:rPr>
      <w:rFonts w:ascii="Times New Roman" w:eastAsia="Times New Roman" w:hAnsi="Times New Roman" w:cs="Times New Roman"/>
      <w:lang w:eastAsia="es-MX"/>
    </w:rPr>
  </w:style>
  <w:style w:type="paragraph" w:styleId="EndnoteText">
    <w:name w:val="endnote text"/>
    <w:link w:val="EndnoteTextChar"/>
    <w:rsid w:val="00D606CA"/>
    <w:pPr>
      <w:pBdr>
        <w:top w:val="nil"/>
        <w:left w:val="nil"/>
        <w:bottom w:val="nil"/>
        <w:right w:val="nil"/>
        <w:between w:val="nil"/>
        <w:bar w:val="nil"/>
      </w:pBdr>
    </w:pPr>
    <w:rPr>
      <w:rFonts w:ascii="Calibri" w:eastAsia="Calibri" w:hAnsi="Calibri" w:cs="Calibri"/>
      <w:color w:val="000000"/>
      <w:sz w:val="20"/>
      <w:szCs w:val="20"/>
      <w:u w:color="000000"/>
      <w:bdr w:val="nil"/>
      <w:lang w:val="es-ES_tradnl" w:eastAsia="es-MX"/>
    </w:rPr>
  </w:style>
  <w:style w:type="character" w:customStyle="1" w:styleId="EndnoteTextChar">
    <w:name w:val="Endnote Text Char"/>
    <w:basedOn w:val="DefaultParagraphFont"/>
    <w:link w:val="EndnoteText"/>
    <w:rsid w:val="00D606CA"/>
    <w:rPr>
      <w:rFonts w:ascii="Calibri" w:eastAsia="Calibri" w:hAnsi="Calibri" w:cs="Calibri"/>
      <w:color w:val="000000"/>
      <w:sz w:val="20"/>
      <w:szCs w:val="20"/>
      <w:u w:color="000000"/>
      <w:bdr w:val="nil"/>
      <w:lang w:val="es-ES_tradnl" w:eastAsia="es-MX"/>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lp1,B"/>
    <w:basedOn w:val="Normal"/>
    <w:link w:val="ListParagraphChar"/>
    <w:uiPriority w:val="34"/>
    <w:qFormat/>
    <w:rsid w:val="006E5F28"/>
    <w:pPr>
      <w:spacing w:before="100" w:beforeAutospacing="1" w:after="100" w:afterAutospacing="1"/>
      <w:ind w:left="720"/>
      <w:contextualSpacing/>
    </w:pPr>
    <w:rPr>
      <w:rFonts w:ascii="Calibri" w:eastAsia="Calibri" w:hAnsi="Calibri" w:cs="Times New Roman"/>
      <w:sz w:val="22"/>
      <w:szCs w:val="22"/>
      <w:lang w:val="en-US"/>
    </w:rPr>
  </w:style>
  <w:style w:type="character" w:customStyle="1" w:styleId="ListParagraphChar">
    <w:name w:val="List Paragraph Char"/>
    <w:aliases w:val="Bullets Char,List Paragraph1 Char,Bullet List Char,FooterText Char,Colorful List Accent 1 Char,Colorful List - Accent 11 Char,numbered Char,Paragraphe de liste1 Char,列出段落 Char,列出段落1 Char,Bulletr List Paragraph Char,lp1 Char,B Char"/>
    <w:link w:val="ListParagraph"/>
    <w:uiPriority w:val="1"/>
    <w:qFormat/>
    <w:locked/>
    <w:rsid w:val="006E5F28"/>
    <w:rPr>
      <w:rFonts w:ascii="Calibri" w:eastAsia="Calibri" w:hAnsi="Calibri" w:cs="Times New Roman"/>
      <w:sz w:val="22"/>
      <w:szCs w:val="22"/>
      <w:lang w:val="en-US"/>
    </w:rPr>
  </w:style>
  <w:style w:type="paragraph" w:styleId="Header">
    <w:name w:val="header"/>
    <w:basedOn w:val="Normal"/>
    <w:link w:val="HeaderChar"/>
    <w:uiPriority w:val="99"/>
    <w:unhideWhenUsed/>
    <w:rsid w:val="00777F6A"/>
    <w:pPr>
      <w:tabs>
        <w:tab w:val="center" w:pos="4419"/>
        <w:tab w:val="right" w:pos="8838"/>
      </w:tabs>
    </w:pPr>
  </w:style>
  <w:style w:type="character" w:customStyle="1" w:styleId="HeaderChar">
    <w:name w:val="Header Char"/>
    <w:basedOn w:val="DefaultParagraphFont"/>
    <w:link w:val="Header"/>
    <w:uiPriority w:val="99"/>
    <w:rsid w:val="00777F6A"/>
  </w:style>
  <w:style w:type="paragraph" w:styleId="Footer">
    <w:name w:val="footer"/>
    <w:basedOn w:val="Normal"/>
    <w:link w:val="FooterChar"/>
    <w:uiPriority w:val="99"/>
    <w:unhideWhenUsed/>
    <w:rsid w:val="00777F6A"/>
    <w:pPr>
      <w:tabs>
        <w:tab w:val="center" w:pos="4419"/>
        <w:tab w:val="right" w:pos="8838"/>
      </w:tabs>
    </w:pPr>
  </w:style>
  <w:style w:type="character" w:customStyle="1" w:styleId="FooterChar">
    <w:name w:val="Footer Char"/>
    <w:basedOn w:val="DefaultParagraphFont"/>
    <w:link w:val="Footer"/>
    <w:uiPriority w:val="99"/>
    <w:rsid w:val="00777F6A"/>
  </w:style>
  <w:style w:type="character" w:customStyle="1" w:styleId="Heading1Char">
    <w:name w:val="Heading 1 Char"/>
    <w:basedOn w:val="DefaultParagraphFont"/>
    <w:link w:val="Heading1"/>
    <w:rsid w:val="00777F6A"/>
    <w:rPr>
      <w:rFonts w:ascii="Arial" w:eastAsia="Arial" w:hAnsi="Arial" w:cs="Arial"/>
      <w:b/>
      <w:bCs/>
      <w:sz w:val="50"/>
      <w:szCs w:val="50"/>
      <w:lang w:val="en-US" w:bidi="en-US"/>
    </w:rPr>
  </w:style>
  <w:style w:type="paragraph" w:styleId="BalloonText">
    <w:name w:val="Balloon Text"/>
    <w:basedOn w:val="Normal"/>
    <w:link w:val="BalloonTextChar"/>
    <w:uiPriority w:val="99"/>
    <w:semiHidden/>
    <w:unhideWhenUsed/>
    <w:rsid w:val="00CD0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D7"/>
    <w:rPr>
      <w:rFonts w:ascii="Segoe UI" w:hAnsi="Segoe UI" w:cs="Segoe UI"/>
      <w:sz w:val="18"/>
      <w:szCs w:val="18"/>
    </w:rPr>
  </w:style>
  <w:style w:type="character" w:styleId="Hyperlink">
    <w:name w:val="Hyperlink"/>
    <w:uiPriority w:val="99"/>
    <w:unhideWhenUsed/>
    <w:rsid w:val="00CD0DD7"/>
    <w:rPr>
      <w:color w:val="0563C1"/>
      <w:u w:val="single"/>
    </w:rPr>
  </w:style>
  <w:style w:type="paragraph" w:styleId="BodyText">
    <w:name w:val="Body Text"/>
    <w:basedOn w:val="Normal"/>
    <w:link w:val="BodyTextChar"/>
    <w:uiPriority w:val="99"/>
    <w:qFormat/>
    <w:rsid w:val="00CD0DD7"/>
    <w:pPr>
      <w:widowControl w:val="0"/>
      <w:autoSpaceDE w:val="0"/>
      <w:autoSpaceDN w:val="0"/>
    </w:pPr>
    <w:rPr>
      <w:rFonts w:ascii="Arial" w:eastAsia="Arial" w:hAnsi="Arial" w:cs="Arial"/>
      <w:lang w:val="en-US" w:bidi="en-US"/>
    </w:rPr>
  </w:style>
  <w:style w:type="character" w:customStyle="1" w:styleId="BodyTextChar">
    <w:name w:val="Body Text Char"/>
    <w:basedOn w:val="DefaultParagraphFont"/>
    <w:link w:val="BodyText"/>
    <w:uiPriority w:val="99"/>
    <w:rsid w:val="00CD0DD7"/>
    <w:rPr>
      <w:rFonts w:ascii="Arial" w:eastAsia="Arial" w:hAnsi="Arial" w:cs="Arial"/>
      <w:lang w:val="en-US" w:bidi="en-US"/>
    </w:rPr>
  </w:style>
  <w:style w:type="character" w:styleId="Strong">
    <w:name w:val="Strong"/>
    <w:basedOn w:val="DefaultParagraphFont"/>
    <w:uiPriority w:val="22"/>
    <w:qFormat/>
    <w:rsid w:val="002833B8"/>
    <w:rPr>
      <w:b/>
      <w:bCs/>
    </w:rPr>
  </w:style>
  <w:style w:type="character" w:styleId="Emphasis">
    <w:name w:val="Emphasis"/>
    <w:basedOn w:val="DefaultParagraphFont"/>
    <w:uiPriority w:val="20"/>
    <w:qFormat/>
    <w:rsid w:val="002833B8"/>
    <w:rPr>
      <w:i/>
      <w:iCs/>
    </w:rPr>
  </w:style>
  <w:style w:type="character" w:styleId="CommentReference">
    <w:name w:val="annotation reference"/>
    <w:basedOn w:val="DefaultParagraphFont"/>
    <w:uiPriority w:val="99"/>
    <w:semiHidden/>
    <w:unhideWhenUsed/>
    <w:rsid w:val="00A576CC"/>
    <w:rPr>
      <w:sz w:val="16"/>
      <w:szCs w:val="16"/>
    </w:rPr>
  </w:style>
  <w:style w:type="paragraph" w:styleId="CommentText">
    <w:name w:val="annotation text"/>
    <w:basedOn w:val="Normal"/>
    <w:link w:val="CommentTextChar"/>
    <w:uiPriority w:val="99"/>
    <w:semiHidden/>
    <w:unhideWhenUsed/>
    <w:rsid w:val="00A576CC"/>
    <w:rPr>
      <w:sz w:val="20"/>
      <w:szCs w:val="20"/>
    </w:rPr>
  </w:style>
  <w:style w:type="character" w:customStyle="1" w:styleId="CommentTextChar">
    <w:name w:val="Comment Text Char"/>
    <w:basedOn w:val="DefaultParagraphFont"/>
    <w:link w:val="CommentText"/>
    <w:uiPriority w:val="99"/>
    <w:semiHidden/>
    <w:rsid w:val="00A576CC"/>
    <w:rPr>
      <w:sz w:val="20"/>
      <w:szCs w:val="20"/>
    </w:rPr>
  </w:style>
  <w:style w:type="paragraph" w:styleId="CommentSubject">
    <w:name w:val="annotation subject"/>
    <w:basedOn w:val="CommentText"/>
    <w:next w:val="CommentText"/>
    <w:link w:val="CommentSubjectChar"/>
    <w:uiPriority w:val="99"/>
    <w:semiHidden/>
    <w:unhideWhenUsed/>
    <w:rsid w:val="00A576CC"/>
    <w:rPr>
      <w:b/>
      <w:bCs/>
    </w:rPr>
  </w:style>
  <w:style w:type="character" w:customStyle="1" w:styleId="CommentSubjectChar">
    <w:name w:val="Comment Subject Char"/>
    <w:basedOn w:val="CommentTextChar"/>
    <w:link w:val="CommentSubject"/>
    <w:uiPriority w:val="99"/>
    <w:semiHidden/>
    <w:rsid w:val="00A576CC"/>
    <w:rPr>
      <w:b/>
      <w:bCs/>
      <w:sz w:val="20"/>
      <w:szCs w:val="20"/>
    </w:rPr>
  </w:style>
  <w:style w:type="character" w:styleId="UnresolvedMention">
    <w:name w:val="Unresolved Mention"/>
    <w:basedOn w:val="DefaultParagraphFont"/>
    <w:uiPriority w:val="99"/>
    <w:semiHidden/>
    <w:unhideWhenUsed/>
    <w:rsid w:val="00642341"/>
    <w:rPr>
      <w:color w:val="605E5C"/>
      <w:shd w:val="clear" w:color="auto" w:fill="E1DFDD"/>
    </w:rPr>
  </w:style>
  <w:style w:type="character" w:styleId="FollowedHyperlink">
    <w:name w:val="FollowedHyperlink"/>
    <w:basedOn w:val="DefaultParagraphFont"/>
    <w:uiPriority w:val="99"/>
    <w:semiHidden/>
    <w:unhideWhenUsed/>
    <w:rsid w:val="00BE55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856906">
      <w:bodyDiv w:val="1"/>
      <w:marLeft w:val="0"/>
      <w:marRight w:val="0"/>
      <w:marTop w:val="0"/>
      <w:marBottom w:val="0"/>
      <w:divBdr>
        <w:top w:val="none" w:sz="0" w:space="0" w:color="auto"/>
        <w:left w:val="none" w:sz="0" w:space="0" w:color="auto"/>
        <w:bottom w:val="none" w:sz="0" w:space="0" w:color="auto"/>
        <w:right w:val="none" w:sz="0" w:space="0" w:color="auto"/>
      </w:divBdr>
    </w:div>
    <w:div w:id="1616056865">
      <w:bodyDiv w:val="1"/>
      <w:marLeft w:val="0"/>
      <w:marRight w:val="0"/>
      <w:marTop w:val="0"/>
      <w:marBottom w:val="0"/>
      <w:divBdr>
        <w:top w:val="none" w:sz="0" w:space="0" w:color="auto"/>
        <w:left w:val="none" w:sz="0" w:space="0" w:color="auto"/>
        <w:bottom w:val="none" w:sz="0" w:space="0" w:color="auto"/>
        <w:right w:val="none" w:sz="0" w:space="0" w:color="auto"/>
      </w:divBdr>
    </w:div>
    <w:div w:id="194768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c.org/wps/wcm/connect/79355654-bb58-4136-b967-c71e23911392/Handbook-Merchant-Payments-10-20.pdf?MOD=AJPERES&amp;CVID=nm9J1vZ" TargetMode="External"/><Relationship Id="rId18" Type="http://schemas.openxmlformats.org/officeDocument/2006/relationships/hyperlink" Target="https://apply.uncdf.org/protected/resource/eyJoZnJlIjogMTEzOTY4MDQ4LCAidnEiOiAxNzAyMjR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en/ITU-T/focusgroups/dfs/Documents/09_2016/FINAL%20ENDORSED%20Enabling%20Merchant%20Payments%20Acceptance%2030%20May%202016_formatted%20AM.pdf" TargetMode="External"/><Relationship Id="rId17" Type="http://schemas.openxmlformats.org/officeDocument/2006/relationships/hyperlink" Target="https://apply.uncdf.org/prog/btca_rfa_pakistanresponsible_and_inclusive_merchant_digitization_action_research_in_pakistan/" TargetMode="External"/><Relationship Id="rId2" Type="http://schemas.openxmlformats.org/officeDocument/2006/relationships/customXml" Target="../customXml/item2.xml"/><Relationship Id="rId16" Type="http://schemas.openxmlformats.org/officeDocument/2006/relationships/hyperlink" Target="mailto:raza.matin@uncdf.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tterthancash.org/alliance-reports/reaching-financial-equality-for-women" TargetMode="External"/><Relationship Id="rId5" Type="http://schemas.openxmlformats.org/officeDocument/2006/relationships/styles" Target="styles.xml"/><Relationship Id="rId15" Type="http://schemas.openxmlformats.org/officeDocument/2006/relationships/hyperlink" Target="https://documents1.worldbank.org/curated/en/793041588860799013/pdf/Electronic-Payments-Acceptance-Incentives-Literature-Review-and-Country-Examples.pdf" TargetMode="External"/><Relationship Id="rId10" Type="http://schemas.openxmlformats.org/officeDocument/2006/relationships/hyperlink" Target="https://responsiblepayments.org/" TargetMode="External"/><Relationship Id="rId19" Type="http://schemas.openxmlformats.org/officeDocument/2006/relationships/hyperlink" Target="https://apply.uncdf.org/prog/btca_rfa_pakistanresponsible_and_inclusive_merchant_digitization_action_research_in_pakist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pfi.org/sites/gpfi/files/sites/default/files/saudig20_wome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741EA-BBAE-4D38-A2DB-BB9C6A0DC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ADCC3-79B6-4BB1-BEDE-C3E2689073B4}">
  <ds:schemaRefs>
    <ds:schemaRef ds:uri="http://schemas.microsoft.com/sharepoint/v3/contenttype/forms"/>
  </ds:schemaRefs>
</ds:datastoreItem>
</file>

<file path=customXml/itemProps3.xml><?xml version="1.0" encoding="utf-8"?>
<ds:datastoreItem xmlns:ds="http://schemas.openxmlformats.org/officeDocument/2006/customXml" ds:itemID="{013D51ED-EDED-4F6C-8E2C-3F8E18BD6E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1052</Words>
  <Characters>5998</Characters>
  <Application>Microsoft Office Word</Application>
  <DocSecurity>0</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Paulina Antoinette</dc:creator>
  <cp:keywords/>
  <dc:description/>
  <cp:lastModifiedBy>Mimo He</cp:lastModifiedBy>
  <cp:revision>15</cp:revision>
  <dcterms:created xsi:type="dcterms:W3CDTF">2021-09-07T06:53:00Z</dcterms:created>
  <dcterms:modified xsi:type="dcterms:W3CDTF">2021-11-18T19:56:00Z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