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F4C73" w14:textId="77777777" w:rsidR="002C76BA" w:rsidRDefault="002C76BA" w:rsidP="00DF76AA">
      <w:pPr>
        <w:spacing w:before="120"/>
      </w:pPr>
    </w:p>
    <w:p w14:paraId="4C748FD3" w14:textId="77777777" w:rsidR="00A115DF" w:rsidRDefault="00A115DF" w:rsidP="00DF76AA">
      <w:pPr>
        <w:spacing w:before="120"/>
      </w:pPr>
    </w:p>
    <w:p w14:paraId="2EBE6666" w14:textId="77777777" w:rsidR="00A115DF" w:rsidRDefault="00A115DF" w:rsidP="00DF76AA">
      <w:pPr>
        <w:spacing w:before="120"/>
      </w:pPr>
    </w:p>
    <w:p w14:paraId="596B1B3D" w14:textId="77777777" w:rsidR="00A115DF" w:rsidRDefault="00A115DF" w:rsidP="00DF76AA">
      <w:pPr>
        <w:spacing w:before="120"/>
      </w:pPr>
    </w:p>
    <w:p w14:paraId="7D00D83C" w14:textId="77777777" w:rsidR="00A115DF" w:rsidRDefault="00A115DF" w:rsidP="00DF76AA">
      <w:pPr>
        <w:spacing w:before="120"/>
      </w:pPr>
    </w:p>
    <w:p w14:paraId="24747746" w14:textId="77777777" w:rsidR="00A115DF" w:rsidRDefault="00A115DF" w:rsidP="00DF76AA">
      <w:pPr>
        <w:spacing w:before="120"/>
      </w:pPr>
    </w:p>
    <w:p w14:paraId="23108D7A" w14:textId="77777777" w:rsidR="00A115DF" w:rsidRDefault="00A115DF" w:rsidP="00DF76AA">
      <w:pPr>
        <w:spacing w:before="120"/>
      </w:pPr>
    </w:p>
    <w:p w14:paraId="4D103B04" w14:textId="77777777" w:rsidR="000B0A1F" w:rsidRPr="00F506AC" w:rsidRDefault="000B0A1F" w:rsidP="000B0A1F">
      <w:pPr>
        <w:pStyle w:val="TitreSectionINS"/>
        <w:jc w:val="center"/>
        <w:rPr>
          <w:lang w:val="en-US"/>
        </w:rPr>
      </w:pPr>
      <w:bookmarkStart w:id="0" w:name="_Toc47002001"/>
      <w:bookmarkStart w:id="1" w:name="_Toc47002375"/>
      <w:bookmarkStart w:id="2" w:name="_Toc47004519"/>
      <w:bookmarkStart w:id="3" w:name="_Toc47007306"/>
      <w:bookmarkStart w:id="4" w:name="_Toc47007360"/>
      <w:bookmarkStart w:id="5" w:name="_Toc47013161"/>
      <w:bookmarkStart w:id="6" w:name="_Toc47302101"/>
      <w:bookmarkStart w:id="7" w:name="_Toc58777467"/>
      <w:bookmarkStart w:id="8" w:name="_Toc58859082"/>
      <w:bookmarkStart w:id="9" w:name="_Toc39137567"/>
      <w:bookmarkStart w:id="10" w:name="_Toc39153022"/>
      <w:bookmarkStart w:id="11" w:name="_Toc39170884"/>
      <w:bookmarkStart w:id="12" w:name="_Toc41986090"/>
      <w:r w:rsidRPr="00F506AC">
        <w:rPr>
          <w:lang w:val="en-US"/>
        </w:rPr>
        <w:t xml:space="preserve">Scoping study on the mining sector prior to a sub-regional workshop of the Capacity Building Project of the Guinean Chamber of Mines </w:t>
      </w:r>
      <w:bookmarkEnd w:id="0"/>
      <w:bookmarkEnd w:id="1"/>
      <w:bookmarkEnd w:id="2"/>
      <w:bookmarkEnd w:id="3"/>
      <w:bookmarkEnd w:id="4"/>
      <w:bookmarkEnd w:id="5"/>
      <w:bookmarkEnd w:id="6"/>
      <w:bookmarkEnd w:id="7"/>
      <w:bookmarkEnd w:id="8"/>
    </w:p>
    <w:p w14:paraId="02B4DD0D" w14:textId="77777777" w:rsidR="000B0A1F" w:rsidRPr="00F506AC" w:rsidRDefault="000B0A1F" w:rsidP="000B0A1F">
      <w:pPr>
        <w:pStyle w:val="TitreSectionINS"/>
        <w:jc w:val="center"/>
        <w:rPr>
          <w:lang w:val="en-US"/>
        </w:rPr>
      </w:pPr>
      <w:bookmarkStart w:id="13" w:name="_Toc47002002"/>
      <w:bookmarkStart w:id="14" w:name="_Toc47002376"/>
      <w:bookmarkStart w:id="15" w:name="_Toc47004520"/>
      <w:bookmarkStart w:id="16" w:name="_Toc47007307"/>
      <w:bookmarkStart w:id="17" w:name="_Toc47007361"/>
      <w:bookmarkStart w:id="18" w:name="_Toc47013162"/>
      <w:bookmarkStart w:id="19" w:name="_Toc47302102"/>
      <w:bookmarkStart w:id="20" w:name="_Toc58777468"/>
      <w:bookmarkStart w:id="21" w:name="_Toc58859083"/>
      <w:r w:rsidRPr="00F506AC">
        <w:rPr>
          <w:lang w:val="en-US"/>
        </w:rPr>
        <w:t xml:space="preserve">- </w:t>
      </w:r>
      <w:bookmarkEnd w:id="9"/>
      <w:bookmarkEnd w:id="10"/>
      <w:bookmarkEnd w:id="11"/>
      <w:bookmarkEnd w:id="12"/>
      <w:bookmarkEnd w:id="13"/>
      <w:bookmarkEnd w:id="14"/>
      <w:bookmarkEnd w:id="15"/>
      <w:bookmarkEnd w:id="16"/>
      <w:bookmarkEnd w:id="17"/>
      <w:bookmarkEnd w:id="18"/>
      <w:bookmarkEnd w:id="19"/>
      <w:bookmarkEnd w:id="20"/>
      <w:bookmarkEnd w:id="21"/>
    </w:p>
    <w:p w14:paraId="6F90F1F8" w14:textId="77777777" w:rsidR="000B0A1F" w:rsidRPr="00F506AC" w:rsidRDefault="000B0A1F" w:rsidP="000B0A1F">
      <w:pPr>
        <w:pStyle w:val="TitreSectionINS"/>
        <w:jc w:val="center"/>
        <w:rPr>
          <w:lang w:val="en-US"/>
        </w:rPr>
      </w:pPr>
      <w:bookmarkStart w:id="22" w:name="_Toc47002003"/>
      <w:bookmarkStart w:id="23" w:name="_Toc47002377"/>
      <w:bookmarkStart w:id="24" w:name="_Toc47004521"/>
      <w:bookmarkStart w:id="25" w:name="_Toc47007308"/>
      <w:bookmarkStart w:id="26" w:name="_Toc47007362"/>
      <w:bookmarkStart w:id="27" w:name="_Toc47013163"/>
      <w:bookmarkStart w:id="28" w:name="_Toc47302103"/>
      <w:bookmarkStart w:id="29" w:name="_Toc58777469"/>
      <w:bookmarkStart w:id="30" w:name="_Toc58859084"/>
      <w:r w:rsidRPr="00F506AC">
        <w:rPr>
          <w:lang w:val="en-US"/>
        </w:rPr>
        <w:t xml:space="preserve">UN Capital Development Fund </w:t>
      </w:r>
      <w:bookmarkEnd w:id="22"/>
      <w:bookmarkEnd w:id="23"/>
      <w:bookmarkEnd w:id="24"/>
      <w:bookmarkEnd w:id="25"/>
      <w:bookmarkEnd w:id="26"/>
      <w:bookmarkEnd w:id="27"/>
      <w:bookmarkEnd w:id="28"/>
      <w:bookmarkEnd w:id="29"/>
      <w:bookmarkEnd w:id="30"/>
    </w:p>
    <w:p w14:paraId="269FA46B" w14:textId="77777777" w:rsidR="000B0A1F" w:rsidRPr="00F506AC" w:rsidRDefault="000B0A1F" w:rsidP="000B0A1F">
      <w:pPr>
        <w:jc w:val="center"/>
        <w:rPr>
          <w:b/>
          <w:bCs/>
          <w:lang w:val="en-US"/>
        </w:rPr>
      </w:pPr>
      <w:r w:rsidRPr="00F506AC">
        <w:rPr>
          <w:b/>
          <w:bCs/>
          <w:lang w:val="en-US"/>
        </w:rPr>
        <w:t>Executive Summary</w:t>
      </w:r>
    </w:p>
    <w:p w14:paraId="557367E0" w14:textId="77777777" w:rsidR="000B0A1F" w:rsidRPr="00F506AC" w:rsidRDefault="000B0A1F" w:rsidP="000B0A1F">
      <w:pPr>
        <w:jc w:val="center"/>
        <w:rPr>
          <w:b/>
          <w:bCs/>
          <w:lang w:val="en-US"/>
        </w:rPr>
      </w:pPr>
    </w:p>
    <w:p w14:paraId="4764CF65" w14:textId="77777777" w:rsidR="00A115DF" w:rsidRDefault="000B0A1F" w:rsidP="000B0A1F">
      <w:pPr>
        <w:spacing w:before="120"/>
        <w:jc w:val="center"/>
      </w:pPr>
      <w:r>
        <w:t>January 2020</w:t>
      </w:r>
    </w:p>
    <w:p w14:paraId="0175396D" w14:textId="77777777" w:rsidR="00A115DF" w:rsidRDefault="00A115DF" w:rsidP="00DF76AA">
      <w:pPr>
        <w:spacing w:before="120"/>
      </w:pPr>
    </w:p>
    <w:p w14:paraId="0928B503" w14:textId="77777777" w:rsidR="00A115DF" w:rsidRDefault="00A115DF" w:rsidP="00DF76AA">
      <w:pPr>
        <w:spacing w:before="120"/>
      </w:pPr>
    </w:p>
    <w:p w14:paraId="79B4E038" w14:textId="77777777" w:rsidR="00A115DF" w:rsidRDefault="00A115DF" w:rsidP="00DF76AA">
      <w:pPr>
        <w:spacing w:before="120"/>
      </w:pPr>
    </w:p>
    <w:p w14:paraId="2B0ACF86" w14:textId="77777777" w:rsidR="00A115DF" w:rsidRDefault="00A115DF" w:rsidP="00DF76AA">
      <w:pPr>
        <w:spacing w:before="120"/>
      </w:pPr>
    </w:p>
    <w:p w14:paraId="58C81D9F" w14:textId="77777777" w:rsidR="00A115DF" w:rsidRDefault="00A115DF" w:rsidP="00F40C67">
      <w:pPr>
        <w:spacing w:before="120"/>
      </w:pPr>
    </w:p>
    <w:p w14:paraId="102543B7" w14:textId="77777777" w:rsidR="00A115DF" w:rsidRDefault="00A115DF" w:rsidP="00DF76AA">
      <w:pPr>
        <w:spacing w:before="120"/>
      </w:pPr>
    </w:p>
    <w:p w14:paraId="00A38CFD" w14:textId="77777777" w:rsidR="00A115DF" w:rsidRDefault="00A115DF" w:rsidP="00DF76AA">
      <w:pPr>
        <w:spacing w:before="120"/>
      </w:pPr>
    </w:p>
    <w:p w14:paraId="1D6480A8" w14:textId="77777777" w:rsidR="00A115DF" w:rsidRDefault="00A115DF" w:rsidP="00DF76AA">
      <w:pPr>
        <w:spacing w:before="120"/>
      </w:pPr>
    </w:p>
    <w:p w14:paraId="33A87018" w14:textId="77777777" w:rsidR="00A115DF" w:rsidRDefault="00A115DF" w:rsidP="002A6E16">
      <w:pPr>
        <w:spacing w:before="120"/>
      </w:pPr>
    </w:p>
    <w:p w14:paraId="5FE11D80" w14:textId="77777777" w:rsidR="00BD05D7" w:rsidRDefault="00BD05D7" w:rsidP="002A6E16">
      <w:pPr>
        <w:pStyle w:val="EquipeINS"/>
      </w:pPr>
    </w:p>
    <w:p w14:paraId="5A359259" w14:textId="77777777" w:rsidR="00BD05D7" w:rsidRDefault="00BD05D7">
      <w:pPr>
        <w:rPr>
          <w:rFonts w:cs="Arial"/>
          <w:i/>
          <w:color w:val="0099A8"/>
          <w:szCs w:val="20"/>
        </w:rPr>
      </w:pPr>
      <w:r>
        <w:br w:type="page"/>
      </w:r>
    </w:p>
    <w:p w14:paraId="543C5691" w14:textId="77777777" w:rsidR="00397FC5" w:rsidRPr="00F506AC" w:rsidRDefault="000B0A1F" w:rsidP="00397FC5">
      <w:pPr>
        <w:pStyle w:val="Heading1"/>
        <w:rPr>
          <w:lang w:val="en-US"/>
        </w:rPr>
      </w:pPr>
      <w:r w:rsidRPr="00F506AC">
        <w:rPr>
          <w:lang w:val="en-US"/>
        </w:rPr>
        <w:lastRenderedPageBreak/>
        <w:t>Aims of the study and methodology</w:t>
      </w:r>
    </w:p>
    <w:p w14:paraId="29D1EAA5" w14:textId="7DDC96B0" w:rsidR="000B0A1F" w:rsidRPr="00F506AC" w:rsidRDefault="000B0A1F" w:rsidP="000B0A1F">
      <w:pPr>
        <w:rPr>
          <w:lang w:val="en-US"/>
        </w:rPr>
      </w:pPr>
      <w:r w:rsidRPr="00F506AC">
        <w:rPr>
          <w:lang w:val="en-US"/>
        </w:rPr>
        <w:t xml:space="preserve">This study, commissioned by UNCDF in collaboration with the Guinean Chamber of Mines, focuses on the industrial mining sector. Its main objective is to take stock of the main initiatives and funding mechanisms, both public and private, </w:t>
      </w:r>
      <w:r w:rsidR="003E6745">
        <w:rPr>
          <w:lang w:val="en-US"/>
        </w:rPr>
        <w:t>of</w:t>
      </w:r>
      <w:r w:rsidR="003E6745" w:rsidRPr="00F506AC">
        <w:rPr>
          <w:lang w:val="en-US"/>
        </w:rPr>
        <w:t xml:space="preserve"> </w:t>
      </w:r>
      <w:r w:rsidRPr="00F506AC">
        <w:rPr>
          <w:lang w:val="en-US"/>
        </w:rPr>
        <w:t xml:space="preserve">community development in the mining sector, and to identify the actors and innovative dynamics at work. </w:t>
      </w:r>
    </w:p>
    <w:p w14:paraId="752379FB" w14:textId="128DDFDE" w:rsidR="000B0A1F" w:rsidRPr="00F506AC" w:rsidRDefault="000B0A1F" w:rsidP="000B0A1F">
      <w:pPr>
        <w:rPr>
          <w:lang w:val="en-US"/>
        </w:rPr>
      </w:pPr>
      <w:r w:rsidRPr="00F506AC">
        <w:rPr>
          <w:lang w:val="en-US"/>
        </w:rPr>
        <w:t xml:space="preserve">In order to meet this objective, this study was carried out </w:t>
      </w:r>
      <w:r w:rsidR="003E6745">
        <w:rPr>
          <w:lang w:val="en-US"/>
        </w:rPr>
        <w:t>according to</w:t>
      </w:r>
      <w:r w:rsidR="003E6745" w:rsidRPr="00F506AC">
        <w:rPr>
          <w:lang w:val="en-US"/>
        </w:rPr>
        <w:t xml:space="preserve"> </w:t>
      </w:r>
      <w:r w:rsidRPr="00F506AC">
        <w:rPr>
          <w:lang w:val="en-US"/>
        </w:rPr>
        <w:t xml:space="preserve">the following steps: </w:t>
      </w:r>
    </w:p>
    <w:p w14:paraId="6D0B7B4E" w14:textId="77777777" w:rsidR="000B0A1F" w:rsidRPr="00F506AC" w:rsidRDefault="000B0A1F" w:rsidP="000B0A1F">
      <w:pPr>
        <w:pStyle w:val="PuceNiveau1"/>
        <w:spacing w:before="60" w:after="60"/>
        <w:rPr>
          <w:lang w:val="en-US"/>
        </w:rPr>
      </w:pPr>
      <w:r w:rsidRPr="00F506AC">
        <w:rPr>
          <w:lang w:val="en-US"/>
        </w:rPr>
        <w:t>The establishment of an inventory of the initiatives carried out in terms of community development in the Least Developed Countries (LDCs) selected in West Africa, namely Guinea, Burkina Faso, Senegal, Sierra Leone, Mali, Ghana and South Africa;</w:t>
      </w:r>
    </w:p>
    <w:p w14:paraId="6C86598B" w14:textId="77777777" w:rsidR="000B0A1F" w:rsidRPr="00F506AC" w:rsidRDefault="000B0A1F" w:rsidP="000B0A1F">
      <w:pPr>
        <w:pStyle w:val="PuceNiveau1"/>
        <w:spacing w:before="60" w:after="60"/>
        <w:rPr>
          <w:lang w:val="en-US"/>
        </w:rPr>
      </w:pPr>
      <w:r w:rsidRPr="00F506AC">
        <w:rPr>
          <w:lang w:val="en-US"/>
        </w:rPr>
        <w:t>The establishment of an inventory of the main mechanisms for financing local development by the mining sector in the countries under study;</w:t>
      </w:r>
    </w:p>
    <w:p w14:paraId="79260D39" w14:textId="77777777" w:rsidR="000B0A1F" w:rsidRPr="00F506AC" w:rsidRDefault="000B0A1F" w:rsidP="000B0A1F">
      <w:pPr>
        <w:pStyle w:val="PuceNiveau1"/>
        <w:spacing w:before="60" w:after="60"/>
        <w:rPr>
          <w:lang w:val="en-US"/>
        </w:rPr>
      </w:pPr>
      <w:r w:rsidRPr="00F506AC">
        <w:rPr>
          <w:lang w:val="en-US"/>
        </w:rPr>
        <w:t xml:space="preserve">Assessing the roles of Chambers of Mines and/or other organizations responsible for conducting community development initiatives. </w:t>
      </w:r>
    </w:p>
    <w:p w14:paraId="43D63AEB" w14:textId="3013200F" w:rsidR="000B0A1F" w:rsidRPr="00F506AC" w:rsidRDefault="000B0A1F" w:rsidP="000B0A1F">
      <w:pPr>
        <w:pStyle w:val="PuceNiveau1"/>
        <w:spacing w:before="60" w:after="60"/>
        <w:rPr>
          <w:lang w:val="en-US"/>
        </w:rPr>
      </w:pPr>
      <w:r w:rsidRPr="00F506AC">
        <w:rPr>
          <w:lang w:val="en-US"/>
        </w:rPr>
        <w:t xml:space="preserve">The elaboration of terms of reference for the holding of a sub-regional workshop on these themes, scheduled to be held in 2021 on the </w:t>
      </w:r>
      <w:r w:rsidR="00C60ED4">
        <w:rPr>
          <w:lang w:val="en-US"/>
        </w:rPr>
        <w:t>fringe</w:t>
      </w:r>
      <w:r w:rsidR="00C60ED4" w:rsidRPr="00F506AC">
        <w:rPr>
          <w:lang w:val="en-US"/>
        </w:rPr>
        <w:t xml:space="preserve"> </w:t>
      </w:r>
      <w:r w:rsidRPr="00F506AC">
        <w:rPr>
          <w:lang w:val="en-US"/>
        </w:rPr>
        <w:t xml:space="preserve">of the General Assembly of </w:t>
      </w:r>
      <w:r w:rsidR="00DD6D3E" w:rsidRPr="00F506AC">
        <w:rPr>
          <w:lang w:val="en-US"/>
        </w:rPr>
        <w:t xml:space="preserve">ECOWAS Chambers of Mines </w:t>
      </w:r>
      <w:r w:rsidRPr="00F506AC">
        <w:rPr>
          <w:lang w:val="en-US"/>
        </w:rPr>
        <w:t xml:space="preserve">Federation (EFEDCOM). </w:t>
      </w:r>
    </w:p>
    <w:p w14:paraId="0C9F22EA" w14:textId="68C19DDD" w:rsidR="000B0A1F" w:rsidRPr="00F506AC" w:rsidRDefault="000B0A1F" w:rsidP="000B0A1F">
      <w:pPr>
        <w:rPr>
          <w:lang w:val="en-US"/>
        </w:rPr>
      </w:pPr>
      <w:r w:rsidRPr="00F506AC">
        <w:rPr>
          <w:lang w:val="en-US"/>
        </w:rPr>
        <w:t xml:space="preserve">In addition to having a dynamic mining sector, these countries are characterised by strong dynamics in terms of innovation, which concern local development </w:t>
      </w:r>
      <w:r w:rsidR="003E6745" w:rsidRPr="00F506AC">
        <w:rPr>
          <w:lang w:val="en-US"/>
        </w:rPr>
        <w:t xml:space="preserve">initiatives </w:t>
      </w:r>
      <w:r w:rsidRPr="00F506AC">
        <w:rPr>
          <w:lang w:val="en-US"/>
        </w:rPr>
        <w:t xml:space="preserve">and </w:t>
      </w:r>
      <w:r w:rsidR="006A6ED2">
        <w:rPr>
          <w:lang w:val="en-US"/>
        </w:rPr>
        <w:t>funding</w:t>
      </w:r>
      <w:r w:rsidR="003E6745" w:rsidRPr="00F506AC">
        <w:rPr>
          <w:lang w:val="en-US"/>
        </w:rPr>
        <w:t xml:space="preserve"> </w:t>
      </w:r>
      <w:r w:rsidRPr="00F506AC">
        <w:rPr>
          <w:lang w:val="en-US"/>
        </w:rPr>
        <w:t xml:space="preserve">mechanisms: </w:t>
      </w:r>
    </w:p>
    <w:p w14:paraId="500B20CE" w14:textId="77777777" w:rsidR="000B0A1F" w:rsidRPr="00F506AC" w:rsidRDefault="000B0A1F" w:rsidP="000B0A1F">
      <w:pPr>
        <w:pStyle w:val="PuceNiveau1"/>
        <w:spacing w:before="60" w:after="60"/>
        <w:rPr>
          <w:lang w:val="en-US"/>
        </w:rPr>
      </w:pPr>
      <w:r w:rsidRPr="00F506AC">
        <w:rPr>
          <w:lang w:val="en-US"/>
        </w:rPr>
        <w:t>They belong to the category of LDCs, with the exception of Ghana and South Africa, which are included in the corpus of the study for comparative analysis purposes;</w:t>
      </w:r>
    </w:p>
    <w:p w14:paraId="55F668B5" w14:textId="339AFFD6" w:rsidR="000B0A1F" w:rsidRPr="00F506AC" w:rsidRDefault="000B0A1F" w:rsidP="000B0A1F">
      <w:pPr>
        <w:pStyle w:val="PuceNiveau1"/>
        <w:spacing w:before="60" w:after="60"/>
        <w:rPr>
          <w:lang w:val="en-US"/>
        </w:rPr>
      </w:pPr>
      <w:r w:rsidRPr="00F506AC">
        <w:rPr>
          <w:lang w:val="en-US"/>
        </w:rPr>
        <w:t>They have recently or are currently in the process of legal, policy and institutional reforms designed to promote win-win development that seeks to maximi</w:t>
      </w:r>
      <w:r w:rsidR="00DD6D3E">
        <w:rPr>
          <w:lang w:val="en-US"/>
        </w:rPr>
        <w:t>z</w:t>
      </w:r>
      <w:r w:rsidRPr="00F506AC">
        <w:rPr>
          <w:lang w:val="en-US"/>
        </w:rPr>
        <w:t xml:space="preserve">e benefits for the country and improve </w:t>
      </w:r>
      <w:r w:rsidR="00DD6D3E">
        <w:rPr>
          <w:lang w:val="en-US"/>
        </w:rPr>
        <w:t xml:space="preserve">the sector’s </w:t>
      </w:r>
      <w:r w:rsidRPr="00F506AC">
        <w:rPr>
          <w:lang w:val="en-US"/>
        </w:rPr>
        <w:t>governance;</w:t>
      </w:r>
    </w:p>
    <w:p w14:paraId="691BDAD7" w14:textId="5C55710F" w:rsidR="000B0A1F" w:rsidRPr="00F506AC" w:rsidRDefault="000B0A1F" w:rsidP="000B0A1F">
      <w:pPr>
        <w:pStyle w:val="PuceNiveau1"/>
        <w:spacing w:before="60" w:after="60"/>
        <w:rPr>
          <w:lang w:val="en-US"/>
        </w:rPr>
      </w:pPr>
      <w:r w:rsidRPr="00F506AC">
        <w:rPr>
          <w:lang w:val="en-US"/>
        </w:rPr>
        <w:t xml:space="preserve">As such, at the institutional level, in recent years these countries have begun, or re-launched, the implementation of mechanisms </w:t>
      </w:r>
      <w:r w:rsidR="00DD6D3E">
        <w:rPr>
          <w:lang w:val="en-US"/>
        </w:rPr>
        <w:t>to finance</w:t>
      </w:r>
      <w:r w:rsidRPr="00F506AC">
        <w:rPr>
          <w:lang w:val="en-US"/>
        </w:rPr>
        <w:t xml:space="preserve"> local development from mining revenues through the Mining Funds for Local Development (</w:t>
      </w:r>
      <w:r w:rsidR="00451931">
        <w:rPr>
          <w:lang w:val="en-US"/>
        </w:rPr>
        <w:t xml:space="preserve">Fonds Minier de Développement Local - </w:t>
      </w:r>
      <w:r w:rsidRPr="00F506AC">
        <w:rPr>
          <w:lang w:val="en-US"/>
        </w:rPr>
        <w:t>FMDL);</w:t>
      </w:r>
    </w:p>
    <w:p w14:paraId="6CA76A4E" w14:textId="6898FC9E" w:rsidR="000B0A1F" w:rsidRPr="00F506AC" w:rsidRDefault="000B0A1F" w:rsidP="000B0A1F">
      <w:pPr>
        <w:pStyle w:val="PuceNiveau1"/>
        <w:spacing w:before="60" w:after="60"/>
        <w:rPr>
          <w:lang w:val="en-US"/>
        </w:rPr>
      </w:pPr>
      <w:r w:rsidRPr="00F506AC">
        <w:rPr>
          <w:lang w:val="en-US"/>
        </w:rPr>
        <w:t xml:space="preserve">They have dynamic Chambers of Mines, engaged in a process of regional collaboration through the </w:t>
      </w:r>
      <w:r w:rsidR="00DD6D3E" w:rsidRPr="00F506AC">
        <w:rPr>
          <w:lang w:val="en-US"/>
        </w:rPr>
        <w:t xml:space="preserve">ECOWAS Chambers of Mines Federation </w:t>
      </w:r>
      <w:r w:rsidRPr="00F506AC">
        <w:rPr>
          <w:lang w:val="en-US"/>
        </w:rPr>
        <w:t xml:space="preserve">(EFEDCOM) and the </w:t>
      </w:r>
      <w:r w:rsidR="00DD6D3E" w:rsidRPr="00F506AC">
        <w:rPr>
          <w:rFonts w:cs="Arial"/>
          <w:szCs w:val="20"/>
          <w:lang w:val="en-US"/>
        </w:rPr>
        <w:t xml:space="preserve">Chambers of Mines </w:t>
      </w:r>
      <w:r w:rsidRPr="00F506AC">
        <w:rPr>
          <w:rFonts w:cs="Arial"/>
          <w:szCs w:val="20"/>
          <w:lang w:val="en-US"/>
        </w:rPr>
        <w:t xml:space="preserve">Association and Other Mining Associations in Africa, founded in 2017 under the aegis of the African Union </w:t>
      </w:r>
      <w:r w:rsidRPr="00F506AC">
        <w:rPr>
          <w:rFonts w:eastAsia="Times New Roman" w:cs="Arial"/>
          <w:szCs w:val="20"/>
          <w:shd w:val="clear" w:color="auto" w:fill="FFFFFF"/>
          <w:lang w:val="en-US" w:eastAsia="fr-FR"/>
        </w:rPr>
        <w:t xml:space="preserve">(ACMMAA). Mali has the particularity of having a Chamber of Mines which is a </w:t>
      </w:r>
      <w:r w:rsidRPr="00F506AC">
        <w:rPr>
          <w:lang w:val="en-US"/>
        </w:rPr>
        <w:t xml:space="preserve">creation of the State and is therefore placed under the supervision of the Ministry of Mines, Energy and Water; </w:t>
      </w:r>
    </w:p>
    <w:p w14:paraId="6DA62A5E" w14:textId="4DFD5BA8" w:rsidR="000B0A1F" w:rsidRPr="00F506AC" w:rsidRDefault="000B0A1F" w:rsidP="000B0A1F">
      <w:pPr>
        <w:pStyle w:val="PuceNiveau1"/>
        <w:spacing w:before="60" w:after="60"/>
        <w:rPr>
          <w:lang w:val="en-US"/>
        </w:rPr>
      </w:pPr>
      <w:r w:rsidRPr="00F506AC">
        <w:rPr>
          <w:lang w:val="en-US"/>
        </w:rPr>
        <w:t>Stakeholders (States, Chambers of Mines, Technical and Financial Partners [TFPs], Non-Governmental Organi</w:t>
      </w:r>
      <w:r w:rsidR="00016E13">
        <w:rPr>
          <w:lang w:val="en-US"/>
        </w:rPr>
        <w:t>z</w:t>
      </w:r>
      <w:r w:rsidRPr="00F506AC">
        <w:rPr>
          <w:lang w:val="en-US"/>
        </w:rPr>
        <w:t>ations [NGOs], mining companies, etc.) have established innovative partnerships to promote local content and community development in mining areas. Pilot projects are implemented in order to maximi</w:t>
      </w:r>
      <w:r w:rsidR="00016E13">
        <w:rPr>
          <w:lang w:val="en-US"/>
        </w:rPr>
        <w:t>z</w:t>
      </w:r>
      <w:r w:rsidRPr="00F506AC">
        <w:rPr>
          <w:lang w:val="en-US"/>
        </w:rPr>
        <w:t>e socio-economic impact</w:t>
      </w:r>
      <w:r w:rsidR="00016E13">
        <w:rPr>
          <w:lang w:val="en-US"/>
        </w:rPr>
        <w:t>s</w:t>
      </w:r>
      <w:r w:rsidRPr="00F506AC">
        <w:rPr>
          <w:lang w:val="en-US"/>
        </w:rPr>
        <w:t xml:space="preserve"> in mining areas through </w:t>
      </w:r>
      <w:r w:rsidR="00016E13">
        <w:rPr>
          <w:lang w:val="en-US"/>
        </w:rPr>
        <w:t xml:space="preserve">local, </w:t>
      </w:r>
      <w:r w:rsidRPr="00F506AC">
        <w:rPr>
          <w:lang w:val="en-US"/>
        </w:rPr>
        <w:t>employment</w:t>
      </w:r>
      <w:r w:rsidR="00016E13">
        <w:rPr>
          <w:lang w:val="en-US"/>
        </w:rPr>
        <w:t xml:space="preserve">, </w:t>
      </w:r>
      <w:r w:rsidRPr="00F506AC">
        <w:rPr>
          <w:lang w:val="en-US"/>
        </w:rPr>
        <w:t xml:space="preserve">local supply, economic diversification, etc. </w:t>
      </w:r>
    </w:p>
    <w:p w14:paraId="1AB4580E" w14:textId="77777777" w:rsidR="000B0A1F" w:rsidRPr="00F506AC" w:rsidRDefault="000B0A1F" w:rsidP="000B0A1F">
      <w:pPr>
        <w:pStyle w:val="PuceNiveau1"/>
        <w:numPr>
          <w:ilvl w:val="0"/>
          <w:numId w:val="0"/>
        </w:numPr>
        <w:rPr>
          <w:lang w:val="en-US"/>
        </w:rPr>
      </w:pPr>
      <w:r w:rsidRPr="00F506AC">
        <w:rPr>
          <w:lang w:val="en-US"/>
        </w:rPr>
        <w:t xml:space="preserve">The data processed for this study came from three main sources. Some were provided by the Chambers of Mines in the countries under study, others were collected via the Internet, and finally missions to Guinea and Burkina Faso completed the data collection. </w:t>
      </w:r>
    </w:p>
    <w:p w14:paraId="13A2C6F6" w14:textId="77777777" w:rsidR="000B0A1F" w:rsidRPr="00F506AC" w:rsidRDefault="000B0A1F" w:rsidP="000B0A1F">
      <w:pPr>
        <w:pStyle w:val="Heading1"/>
        <w:rPr>
          <w:lang w:val="en-US"/>
        </w:rPr>
      </w:pPr>
      <w:r w:rsidRPr="00F506AC">
        <w:rPr>
          <w:lang w:val="en-US"/>
        </w:rPr>
        <w:t>Mining sector: governance and development issues</w:t>
      </w:r>
    </w:p>
    <w:p w14:paraId="66B795D8" w14:textId="4057F5F2" w:rsidR="000B0A1F" w:rsidRPr="00F506AC" w:rsidRDefault="000B0A1F" w:rsidP="000B0A1F">
      <w:pPr>
        <w:rPr>
          <w:lang w:val="en-US"/>
        </w:rPr>
      </w:pPr>
      <w:r w:rsidRPr="00F506AC">
        <w:rPr>
          <w:lang w:val="en-US"/>
        </w:rPr>
        <w:t>The seven countries under review are characterized by the fact that the mining sector is such an important part of their national economies</w:t>
      </w:r>
      <w:r w:rsidR="004E02FC">
        <w:rPr>
          <w:lang w:val="en-US"/>
        </w:rPr>
        <w:t>, so</w:t>
      </w:r>
      <w:r w:rsidRPr="00F506AC">
        <w:rPr>
          <w:lang w:val="en-US"/>
        </w:rPr>
        <w:t xml:space="preserve"> that this category of countries is often referred to as the "mining economy". A significant part of their economic growth is based on the exploitation of non-renewable resources. Each country has specialized in the extraction of certain minerals, depending on the characteristics of its subsoil. It emerges that Guinea stands out as being the world's </w:t>
      </w:r>
      <w:r w:rsidRPr="00F506AC">
        <w:rPr>
          <w:vertAlign w:val="superscript"/>
          <w:lang w:val="en-US"/>
        </w:rPr>
        <w:t xml:space="preserve">2nd </w:t>
      </w:r>
      <w:r w:rsidRPr="00451931">
        <w:rPr>
          <w:lang w:val="en-US"/>
        </w:rPr>
        <w:t>largest</w:t>
      </w:r>
      <w:r w:rsidRPr="00F506AC">
        <w:rPr>
          <w:vertAlign w:val="superscript"/>
          <w:lang w:val="en-US"/>
        </w:rPr>
        <w:t xml:space="preserve"> </w:t>
      </w:r>
      <w:r w:rsidRPr="00F506AC">
        <w:rPr>
          <w:lang w:val="en-US"/>
        </w:rPr>
        <w:t xml:space="preserve">producer of bauxite since December 2020. South Africa, Ghana, Mali and Burkina Faso are among the top gold-producing countries on the African continent. South Africa and, to a lesser extent, Sierra Leone, are important diamond-producing countries. </w:t>
      </w:r>
      <w:r w:rsidR="004E02FC">
        <w:rPr>
          <w:lang w:val="en-US"/>
        </w:rPr>
        <w:t>Regarding</w:t>
      </w:r>
      <w:r w:rsidRPr="00F506AC">
        <w:rPr>
          <w:lang w:val="en-US"/>
        </w:rPr>
        <w:t xml:space="preserve"> iron, Guinea has one of the world's largest reserves (Mount Simandou), whose exploitation project </w:t>
      </w:r>
      <w:r w:rsidRPr="00F506AC">
        <w:rPr>
          <w:lang w:val="en-US"/>
        </w:rPr>
        <w:lastRenderedPageBreak/>
        <w:t>has just been relaunched, Sierra Leone is already a producer, as is Senegal. South Africa is in 7</w:t>
      </w:r>
      <w:r w:rsidRPr="00451931">
        <w:rPr>
          <w:vertAlign w:val="superscript"/>
          <w:lang w:val="en-US"/>
        </w:rPr>
        <w:t>th</w:t>
      </w:r>
      <w:r w:rsidRPr="00F506AC">
        <w:rPr>
          <w:lang w:val="en-US"/>
        </w:rPr>
        <w:t xml:space="preserve"> </w:t>
      </w:r>
      <w:r w:rsidR="004E02FC">
        <w:rPr>
          <w:lang w:val="en-US"/>
        </w:rPr>
        <w:t>position</w:t>
      </w:r>
      <w:r w:rsidR="004E02FC" w:rsidRPr="00F506AC">
        <w:rPr>
          <w:lang w:val="en-US"/>
        </w:rPr>
        <w:t xml:space="preserve"> </w:t>
      </w:r>
      <w:r w:rsidRPr="00F506AC">
        <w:rPr>
          <w:lang w:val="en-US"/>
        </w:rPr>
        <w:t xml:space="preserve">among iron ore producers. Coal is exploited exclusively in South Africa, which guarantees 86% of the country's electricity production. The country is also the world's leading producer of platinum group metals (known as PGMs), which are </w:t>
      </w:r>
      <w:r w:rsidR="002B0676">
        <w:rPr>
          <w:lang w:val="en-US"/>
        </w:rPr>
        <w:t xml:space="preserve">rare and </w:t>
      </w:r>
      <w:r w:rsidRPr="00F506AC">
        <w:rPr>
          <w:lang w:val="en-US"/>
        </w:rPr>
        <w:t>highly sought after by chemical</w:t>
      </w:r>
      <w:r w:rsidR="002B0676">
        <w:rPr>
          <w:lang w:val="en-US"/>
        </w:rPr>
        <w:t xml:space="preserve">, </w:t>
      </w:r>
      <w:r w:rsidRPr="00F506AC">
        <w:rPr>
          <w:lang w:val="en-US"/>
        </w:rPr>
        <w:t>oil</w:t>
      </w:r>
      <w:r w:rsidR="002B0676" w:rsidRPr="002B0676">
        <w:rPr>
          <w:lang w:val="en-US"/>
        </w:rPr>
        <w:t xml:space="preserve"> </w:t>
      </w:r>
      <w:r w:rsidR="002B0676">
        <w:rPr>
          <w:lang w:val="en-US"/>
        </w:rPr>
        <w:t>and</w:t>
      </w:r>
      <w:r w:rsidR="002B0676" w:rsidRPr="00F506AC">
        <w:rPr>
          <w:lang w:val="en-US"/>
        </w:rPr>
        <w:t xml:space="preserve"> </w:t>
      </w:r>
      <w:r w:rsidR="002B0676">
        <w:rPr>
          <w:lang w:val="en-US"/>
        </w:rPr>
        <w:t xml:space="preserve">jewellery </w:t>
      </w:r>
      <w:r w:rsidR="002B0676" w:rsidRPr="00F506AC">
        <w:rPr>
          <w:lang w:val="en-US"/>
        </w:rPr>
        <w:t>industries</w:t>
      </w:r>
      <w:r w:rsidR="002B0676">
        <w:rPr>
          <w:lang w:val="en-US"/>
        </w:rPr>
        <w:t xml:space="preserve"> and </w:t>
      </w:r>
      <w:r w:rsidRPr="00F506AC">
        <w:rPr>
          <w:lang w:val="en-US"/>
        </w:rPr>
        <w:t>communication technolog</w:t>
      </w:r>
      <w:r w:rsidR="002B0676">
        <w:rPr>
          <w:lang w:val="en-US"/>
        </w:rPr>
        <w:t>ies</w:t>
      </w:r>
      <w:r w:rsidRPr="00F506AC">
        <w:rPr>
          <w:lang w:val="en-US"/>
        </w:rPr>
        <w:t>.</w:t>
      </w:r>
    </w:p>
    <w:p w14:paraId="2BFC6E70" w14:textId="08678AF5" w:rsidR="000B0A1F" w:rsidRPr="00F506AC" w:rsidRDefault="000B0A1F" w:rsidP="000B0A1F">
      <w:pPr>
        <w:rPr>
          <w:lang w:val="en-US"/>
        </w:rPr>
      </w:pPr>
      <w:r w:rsidRPr="00F506AC">
        <w:rPr>
          <w:lang w:val="en-US"/>
        </w:rPr>
        <w:t>"Countries are usually considered resource-dependent when their extractive revenues account for more than a fifth of exports or government revenues" (Extractive Industries Transparency Initiative - EITI). O</w:t>
      </w:r>
      <w:r w:rsidR="000C4254">
        <w:rPr>
          <w:lang w:val="en-US"/>
        </w:rPr>
        <w:t>ut o</w:t>
      </w:r>
      <w:r w:rsidRPr="00F506AC">
        <w:rPr>
          <w:lang w:val="en-US"/>
        </w:rPr>
        <w:t>f the seven countries under review, Guinea and Mali, followed by Sierra Leone, are the three countries</w:t>
      </w:r>
      <w:r w:rsidR="000C4254">
        <w:rPr>
          <w:lang w:val="en-US"/>
        </w:rPr>
        <w:t xml:space="preserve"> where the state budget depends the most on </w:t>
      </w:r>
      <w:r w:rsidRPr="00F506AC">
        <w:rPr>
          <w:lang w:val="en-US"/>
        </w:rPr>
        <w:t>the mining sector. In terms of the contribution of the mining sector to government revenues, Burkina Faso and Ghana are at an intermediate level. Well behind, Senegal is below the 5% mark for the contribution of the mining sector to its economy. Senegal's mining sector development policy suggests that its contribution to the national and local economy will continue to grow.</w:t>
      </w:r>
    </w:p>
    <w:p w14:paraId="0E2598E8" w14:textId="74E3EC98" w:rsidR="000B0A1F" w:rsidRPr="00F506AC" w:rsidRDefault="000B0A1F" w:rsidP="000B0A1F">
      <w:pPr>
        <w:widowControl w:val="0"/>
        <w:autoSpaceDE w:val="0"/>
        <w:autoSpaceDN w:val="0"/>
        <w:adjustRightInd w:val="0"/>
        <w:spacing w:after="0"/>
        <w:rPr>
          <w:lang w:val="en-US"/>
        </w:rPr>
      </w:pPr>
      <w:r w:rsidRPr="00F506AC">
        <w:rPr>
          <w:lang w:val="en-US"/>
        </w:rPr>
        <w:t xml:space="preserve">While the boom in natural resources has brought growth </w:t>
      </w:r>
      <w:r w:rsidR="000C4254">
        <w:rPr>
          <w:lang w:val="en-US"/>
        </w:rPr>
        <w:t>to</w:t>
      </w:r>
      <w:r w:rsidR="000C4254" w:rsidRPr="00F506AC">
        <w:rPr>
          <w:lang w:val="en-US"/>
        </w:rPr>
        <w:t xml:space="preserve"> </w:t>
      </w:r>
      <w:r w:rsidR="000C4254">
        <w:rPr>
          <w:lang w:val="en-US"/>
        </w:rPr>
        <w:t xml:space="preserve">the </w:t>
      </w:r>
      <w:r w:rsidRPr="00F506AC">
        <w:rPr>
          <w:lang w:val="en-US"/>
        </w:rPr>
        <w:t xml:space="preserve">commodity-producing countries under review, the question of how to improve people's living standards arises. The non-monetary indices for assessing the impact of these flagship sectors on governance and development show that, overall, the conversion of macroeconomic growth </w:t>
      </w:r>
      <w:r w:rsidR="00807C4A">
        <w:rPr>
          <w:lang w:val="en-US"/>
        </w:rPr>
        <w:t>to achieve</w:t>
      </w:r>
      <w:r w:rsidRPr="00F506AC">
        <w:rPr>
          <w:lang w:val="en-US"/>
        </w:rPr>
        <w:t xml:space="preserve"> poverty reduction and </w:t>
      </w:r>
      <w:r w:rsidR="00807C4A">
        <w:rPr>
          <w:lang w:val="en-US"/>
        </w:rPr>
        <w:t>to improve</w:t>
      </w:r>
      <w:r w:rsidR="00807C4A" w:rsidRPr="00F506AC">
        <w:rPr>
          <w:lang w:val="en-US"/>
        </w:rPr>
        <w:t xml:space="preserve"> governance </w:t>
      </w:r>
      <w:r w:rsidRPr="00F506AC">
        <w:rPr>
          <w:lang w:val="en-US"/>
        </w:rPr>
        <w:t>performance remains relatively limited. The main benchmarks presented here are the Human Development Index (HDI) developed by the UNDP to analy</w:t>
      </w:r>
      <w:r w:rsidR="00807C4A">
        <w:rPr>
          <w:lang w:val="en-US"/>
        </w:rPr>
        <w:t>z</w:t>
      </w:r>
      <w:r w:rsidRPr="00F506AC">
        <w:rPr>
          <w:lang w:val="en-US"/>
        </w:rPr>
        <w:t xml:space="preserve">e the level of </w:t>
      </w:r>
      <w:r w:rsidR="00807C4A" w:rsidRPr="00F506AC">
        <w:rPr>
          <w:lang w:val="en-US"/>
        </w:rPr>
        <w:t xml:space="preserve">not only economic </w:t>
      </w:r>
      <w:r w:rsidRPr="00F506AC">
        <w:rPr>
          <w:lang w:val="en-US"/>
        </w:rPr>
        <w:t xml:space="preserve">development but also human development in order to assess which countries have the best standard of living. The second is the Mo Ibrahim Index of African Governance which ranks the performance of 54 African countries. The third index is the one developed by the NGO </w:t>
      </w:r>
      <w:r w:rsidRPr="00F506AC">
        <w:rPr>
          <w:i/>
          <w:lang w:val="en-US"/>
        </w:rPr>
        <w:t xml:space="preserve">International Natural Resource Governance Institute </w:t>
      </w:r>
      <w:r w:rsidRPr="00F506AC">
        <w:rPr>
          <w:lang w:val="en-US"/>
        </w:rPr>
        <w:t>(NRGI).</w:t>
      </w:r>
    </w:p>
    <w:p w14:paraId="5367A411" w14:textId="19CDEAE1" w:rsidR="000B0A1F" w:rsidRPr="00F506AC" w:rsidRDefault="000B0A1F" w:rsidP="000B0A1F">
      <w:pPr>
        <w:rPr>
          <w:lang w:val="en-US"/>
        </w:rPr>
      </w:pPr>
      <w:r w:rsidRPr="000671C3">
        <w:rPr>
          <w:lang w:val="en-US"/>
        </w:rPr>
        <w:t>For Ghana and South Africa, there is a correlation between the</w:t>
      </w:r>
      <w:r w:rsidR="000C39DE" w:rsidRPr="007E79F6">
        <w:rPr>
          <w:lang w:val="en-US"/>
        </w:rPr>
        <w:t>, still</w:t>
      </w:r>
      <w:r w:rsidRPr="000671C3">
        <w:rPr>
          <w:lang w:val="en-US"/>
        </w:rPr>
        <w:t xml:space="preserve"> relatively low</w:t>
      </w:r>
      <w:r w:rsidR="000671C3" w:rsidRPr="007E79F6">
        <w:rPr>
          <w:lang w:val="en-US"/>
        </w:rPr>
        <w:t>,</w:t>
      </w:r>
      <w:r w:rsidRPr="000671C3">
        <w:rPr>
          <w:lang w:val="en-US"/>
        </w:rPr>
        <w:t xml:space="preserve"> HDI level and the governance indices (Mo Ibrahim and NRGI), which are among the highest of the countries under review</w:t>
      </w:r>
      <w:r w:rsidR="000671C3" w:rsidRPr="007E79F6">
        <w:rPr>
          <w:lang w:val="en-US"/>
        </w:rPr>
        <w:t>.</w:t>
      </w:r>
      <w:r w:rsidRPr="007E79F6">
        <w:rPr>
          <w:lang w:val="en-US"/>
        </w:rPr>
        <w:t>This correlation suggests that the more deeply rooted a country's governance, including mining governance, is, the more likely it is that its population will benefit from substantial mining benefits in terms of social, economic and environmental development</w:t>
      </w:r>
      <w:r w:rsidRPr="00F506AC">
        <w:rPr>
          <w:lang w:val="en-US"/>
        </w:rPr>
        <w:t xml:space="preserve">. Among the LDCs, the lowest HDIs are found in Mali, Sierra Leone, Burkina Faso and Guinea, which are also countries for which governance indices (including natural resources) are assessed as insufficient. </w:t>
      </w:r>
    </w:p>
    <w:p w14:paraId="4A0E0B53" w14:textId="2D5B474D" w:rsidR="000B0A1F" w:rsidRPr="00F506AC" w:rsidRDefault="00C815AC" w:rsidP="000B0A1F">
      <w:pPr>
        <w:rPr>
          <w:lang w:val="en-US"/>
        </w:rPr>
      </w:pPr>
      <w:r>
        <w:rPr>
          <w:lang w:val="en-US"/>
        </w:rPr>
        <w:t>T</w:t>
      </w:r>
      <w:r w:rsidRPr="00F506AC">
        <w:rPr>
          <w:lang w:val="en-US"/>
        </w:rPr>
        <w:t xml:space="preserve">he progress indices </w:t>
      </w:r>
      <w:r>
        <w:rPr>
          <w:lang w:val="en-US"/>
        </w:rPr>
        <w:t>of t</w:t>
      </w:r>
      <w:r w:rsidR="000B0A1F" w:rsidRPr="00F506AC">
        <w:rPr>
          <w:lang w:val="en-US"/>
        </w:rPr>
        <w:t xml:space="preserve">he Mo Ibrahim Index of African Governance </w:t>
      </w:r>
      <w:r w:rsidR="000B0A1F" w:rsidRPr="00C815AC">
        <w:rPr>
          <w:lang w:val="en-US"/>
        </w:rPr>
        <w:t>shows a clear improvement</w:t>
      </w:r>
      <w:r w:rsidR="000B0A1F" w:rsidRPr="00F506AC">
        <w:rPr>
          <w:lang w:val="en-US"/>
        </w:rPr>
        <w:t xml:space="preserve"> for Senegal, Burkina Faso and Guinea. If we compare the evolution of the HDI of these countries from the year 2019 onwards, we can see that these countries maintain the same </w:t>
      </w:r>
      <w:r w:rsidRPr="00F506AC">
        <w:rPr>
          <w:lang w:val="en-US"/>
        </w:rPr>
        <w:t xml:space="preserve">ranking </w:t>
      </w:r>
      <w:r w:rsidR="000B0A1F" w:rsidRPr="00F506AC">
        <w:rPr>
          <w:lang w:val="en-US"/>
        </w:rPr>
        <w:t>position, Senegal is in 166</w:t>
      </w:r>
      <w:r w:rsidR="000B0A1F" w:rsidRPr="00451931">
        <w:rPr>
          <w:vertAlign w:val="superscript"/>
          <w:lang w:val="en-US"/>
        </w:rPr>
        <w:t>th</w:t>
      </w:r>
      <w:r w:rsidR="000B0A1F" w:rsidRPr="00F506AC">
        <w:rPr>
          <w:lang w:val="en-US"/>
        </w:rPr>
        <w:t xml:space="preserve"> place, Guinea in 174</w:t>
      </w:r>
      <w:r w:rsidR="000B0A1F" w:rsidRPr="00451931">
        <w:rPr>
          <w:vertAlign w:val="superscript"/>
          <w:lang w:val="en-US"/>
        </w:rPr>
        <w:t>th</w:t>
      </w:r>
      <w:r w:rsidR="000B0A1F" w:rsidRPr="00F506AC">
        <w:rPr>
          <w:lang w:val="en-US"/>
        </w:rPr>
        <w:t xml:space="preserve"> place and Burkina Faso in 182</w:t>
      </w:r>
      <w:r w:rsidR="000B0A1F" w:rsidRPr="00451931">
        <w:rPr>
          <w:vertAlign w:val="superscript"/>
          <w:lang w:val="en-US"/>
        </w:rPr>
        <w:t>nd</w:t>
      </w:r>
      <w:r w:rsidR="000B0A1F" w:rsidRPr="00F506AC">
        <w:rPr>
          <w:lang w:val="en-US"/>
        </w:rPr>
        <w:t xml:space="preserve"> place, </w:t>
      </w:r>
      <w:r w:rsidRPr="00F506AC">
        <w:rPr>
          <w:lang w:val="en-US"/>
        </w:rPr>
        <w:t xml:space="preserve">therefore </w:t>
      </w:r>
      <w:r w:rsidR="000B0A1F" w:rsidRPr="00F506AC">
        <w:rPr>
          <w:lang w:val="en-US"/>
        </w:rPr>
        <w:t>all these countries still have HDIs evaluated at a low level. Thus, it appears that the improvements observed in terms of governance have not yet had a direct effect on the reduction of socio-economic inequalities. These mining economies are therefore faced with the challenge of converting their national economic take-off into a socio-economic and human development</w:t>
      </w:r>
      <w:r w:rsidR="00E313F8">
        <w:rPr>
          <w:lang w:val="en-US"/>
        </w:rPr>
        <w:t xml:space="preserve"> factor</w:t>
      </w:r>
      <w:r w:rsidR="000B0A1F" w:rsidRPr="00F506AC">
        <w:rPr>
          <w:lang w:val="en-US"/>
        </w:rPr>
        <w:t>, even more so in mining regions where the impacts of exploitation generate major socio-economic and environmental reconfigurations.</w:t>
      </w:r>
    </w:p>
    <w:p w14:paraId="17D53F41" w14:textId="35C58938" w:rsidR="000B0A1F" w:rsidRPr="00F506AC" w:rsidRDefault="000B0A1F" w:rsidP="000B0A1F">
      <w:pPr>
        <w:rPr>
          <w:lang w:val="en-US"/>
        </w:rPr>
      </w:pPr>
      <w:r w:rsidRPr="00F506AC">
        <w:rPr>
          <w:lang w:val="en-US"/>
        </w:rPr>
        <w:t xml:space="preserve">There seems to be a consensus on the importance of enabling the population of mining countries, and </w:t>
      </w:r>
      <w:r w:rsidR="00D87CD4">
        <w:rPr>
          <w:lang w:val="en-US"/>
        </w:rPr>
        <w:t>in particular</w:t>
      </w:r>
      <w:r w:rsidRPr="00F506AC">
        <w:rPr>
          <w:lang w:val="en-US"/>
        </w:rPr>
        <w:t xml:space="preserve"> the communities directly impacted, to </w:t>
      </w:r>
      <w:r w:rsidR="00D87CD4">
        <w:rPr>
          <w:lang w:val="en-US"/>
        </w:rPr>
        <w:t xml:space="preserve">better </w:t>
      </w:r>
      <w:r w:rsidRPr="00F506AC">
        <w:rPr>
          <w:lang w:val="en-US"/>
        </w:rPr>
        <w:t>benefit from sustainable economic spin-offs that</w:t>
      </w:r>
      <w:r w:rsidR="00D87CD4">
        <w:rPr>
          <w:lang w:val="en-US"/>
        </w:rPr>
        <w:t xml:space="preserve"> would</w:t>
      </w:r>
      <w:r w:rsidRPr="00F506AC">
        <w:rPr>
          <w:lang w:val="en-US"/>
        </w:rPr>
        <w:t xml:space="preserve"> enable them to achieve a better standard of living during the exploitation period and in the so-called "post-mining" phase. The issue of financing local development through mining sector spillovers, which is the subject of this study, is therefore at the heart of the development challenges of LDCs with a mining vocation.</w:t>
      </w:r>
    </w:p>
    <w:p w14:paraId="6AE85AC1" w14:textId="04499C68" w:rsidR="000B0A1F" w:rsidRPr="00F506AC" w:rsidRDefault="000B0A1F" w:rsidP="000B0A1F">
      <w:pPr>
        <w:rPr>
          <w:b/>
          <w:bCs/>
          <w:lang w:val="en-US"/>
        </w:rPr>
      </w:pPr>
      <w:r w:rsidRPr="00F506AC">
        <w:rPr>
          <w:lang w:val="en-US"/>
        </w:rPr>
        <w:t xml:space="preserve">For the purposes of this study, local development is understood to mean the improvement </w:t>
      </w:r>
      <w:r w:rsidR="00CA2B9B">
        <w:rPr>
          <w:lang w:val="en-US"/>
        </w:rPr>
        <w:t>of living standard, condition</w:t>
      </w:r>
      <w:r w:rsidR="000671C3" w:rsidRPr="00F506AC">
        <w:rPr>
          <w:lang w:val="en-US"/>
        </w:rPr>
        <w:t xml:space="preserve"> </w:t>
      </w:r>
      <w:r w:rsidR="00CA2B9B">
        <w:rPr>
          <w:lang w:val="en-US"/>
        </w:rPr>
        <w:t>and</w:t>
      </w:r>
      <w:r w:rsidRPr="00F506AC">
        <w:rPr>
          <w:lang w:val="en-US"/>
        </w:rPr>
        <w:t xml:space="preserve"> environment of a given community through the harmonious integration of actions between different sectors of activity. In the mining countries and areas, several </w:t>
      </w:r>
      <w:r w:rsidR="00CA2B9B" w:rsidRPr="00F506AC">
        <w:rPr>
          <w:lang w:val="en-US"/>
        </w:rPr>
        <w:t xml:space="preserve">community or local </w:t>
      </w:r>
      <w:r w:rsidR="00CA2B9B">
        <w:rPr>
          <w:lang w:val="en-US"/>
        </w:rPr>
        <w:t xml:space="preserve">development </w:t>
      </w:r>
      <w:r w:rsidRPr="00F506AC">
        <w:rPr>
          <w:lang w:val="en-US"/>
        </w:rPr>
        <w:t>models and financing modalities operate in parallel, tending to diversify. They are presented and analy</w:t>
      </w:r>
      <w:r w:rsidR="003A304E">
        <w:rPr>
          <w:lang w:val="en-US"/>
        </w:rPr>
        <w:t>z</w:t>
      </w:r>
      <w:r w:rsidRPr="00F506AC">
        <w:rPr>
          <w:lang w:val="en-US"/>
        </w:rPr>
        <w:t xml:space="preserve">ed according to the specificities of each country. </w:t>
      </w:r>
    </w:p>
    <w:p w14:paraId="6EEE9C84" w14:textId="415E7452" w:rsidR="000B0A1F" w:rsidRPr="00F506AC" w:rsidRDefault="000B0A1F" w:rsidP="000B0A1F">
      <w:pPr>
        <w:rPr>
          <w:lang w:val="en-US"/>
        </w:rPr>
      </w:pPr>
      <w:r w:rsidRPr="00F506AC">
        <w:rPr>
          <w:lang w:val="en-US"/>
        </w:rPr>
        <w:t xml:space="preserve">Before entering the description and analysis of development mechanisms, chapter 3 of the study is devoted to a presentation of the different categories of actors working in the mining sector around the theme of community development, local content and their </w:t>
      </w:r>
      <w:r w:rsidR="006A6ED2">
        <w:rPr>
          <w:lang w:val="en-US"/>
        </w:rPr>
        <w:t>funding</w:t>
      </w:r>
      <w:r w:rsidR="006A6ED2" w:rsidRPr="00F506AC">
        <w:rPr>
          <w:lang w:val="en-US"/>
        </w:rPr>
        <w:t xml:space="preserve"> </w:t>
      </w:r>
      <w:r w:rsidRPr="00F506AC">
        <w:rPr>
          <w:lang w:val="en-US"/>
        </w:rPr>
        <w:t xml:space="preserve">mechanisms. In this study, a synthetic table allows a large part of the actors involved to be presented, even if its purpose is more illustrative than exhaustive. Indeed, </w:t>
      </w:r>
      <w:r w:rsidRPr="00F506AC">
        <w:rPr>
          <w:lang w:val="en-US"/>
        </w:rPr>
        <w:lastRenderedPageBreak/>
        <w:t xml:space="preserve">in the different mining areas, there are many stakeholders working in synergy around projects which induce various collaborative models between increasingly diverse actors. </w:t>
      </w:r>
    </w:p>
    <w:p w14:paraId="52F75E47" w14:textId="77777777" w:rsidR="000B0A1F" w:rsidRPr="00F506AC" w:rsidRDefault="000B0A1F" w:rsidP="000B0A1F">
      <w:pPr>
        <w:pStyle w:val="Heading1"/>
        <w:rPr>
          <w:lang w:val="en-US"/>
        </w:rPr>
      </w:pPr>
      <w:r w:rsidRPr="00F506AC">
        <w:rPr>
          <w:lang w:val="en-US"/>
        </w:rPr>
        <w:t>Policy and legal frameworks for community development in the mining sector</w:t>
      </w:r>
    </w:p>
    <w:p w14:paraId="76E89A0A" w14:textId="232A3C3A" w:rsidR="000B0A1F" w:rsidRPr="00F506AC" w:rsidRDefault="000B0A1F" w:rsidP="000B0A1F">
      <w:pPr>
        <w:rPr>
          <w:lang w:val="en-US"/>
        </w:rPr>
      </w:pPr>
      <w:r w:rsidRPr="00F506AC">
        <w:rPr>
          <w:lang w:val="en-US"/>
        </w:rPr>
        <w:t>In 2009, the Vision for Africa's Mining Regime (</w:t>
      </w:r>
      <w:r w:rsidR="00451931">
        <w:rPr>
          <w:lang w:val="en-US"/>
        </w:rPr>
        <w:t xml:space="preserve">Vision du régime minier de l’Afrique - </w:t>
      </w:r>
      <w:r w:rsidRPr="00F506AC">
        <w:rPr>
          <w:lang w:val="en-US"/>
        </w:rPr>
        <w:t xml:space="preserve">VMA) was the first pan-African mining policy document developed under the auspices of the African Union (AU). This vision adopts a comprehensive approach to the </w:t>
      </w:r>
      <w:r w:rsidR="00D42388" w:rsidRPr="00F506AC">
        <w:rPr>
          <w:lang w:val="en-US"/>
        </w:rPr>
        <w:t>continent</w:t>
      </w:r>
      <w:r w:rsidR="00D42388">
        <w:rPr>
          <w:lang w:val="en-US"/>
        </w:rPr>
        <w:t>’s</w:t>
      </w:r>
      <w:r w:rsidR="00D42388" w:rsidRPr="00F506AC">
        <w:rPr>
          <w:lang w:val="en-US"/>
        </w:rPr>
        <w:t xml:space="preserve"> </w:t>
      </w:r>
      <w:r w:rsidRPr="00F506AC">
        <w:rPr>
          <w:lang w:val="en-US"/>
        </w:rPr>
        <w:t>development by enhancing the value of its mineral resources, through the pursuit of a general objective: the transformation of natural capital into human, industrial and technological capital. This document now constitutes the reference strategy for all the countries of the African Union and is recogni</w:t>
      </w:r>
      <w:r w:rsidR="00D42388">
        <w:rPr>
          <w:lang w:val="en-US"/>
        </w:rPr>
        <w:t>z</w:t>
      </w:r>
      <w:r w:rsidRPr="00F506AC">
        <w:rPr>
          <w:lang w:val="en-US"/>
        </w:rPr>
        <w:t xml:space="preserve">ed as such by international development partners. Three main </w:t>
      </w:r>
      <w:r w:rsidR="00025DC0">
        <w:rPr>
          <w:lang w:val="en-US"/>
        </w:rPr>
        <w:t>workshops</w:t>
      </w:r>
      <w:r w:rsidR="0055405A" w:rsidRPr="00F506AC">
        <w:rPr>
          <w:lang w:val="en-US"/>
        </w:rPr>
        <w:t xml:space="preserve"> </w:t>
      </w:r>
      <w:r w:rsidRPr="00F506AC">
        <w:rPr>
          <w:lang w:val="en-US"/>
        </w:rPr>
        <w:t xml:space="preserve">are set as conditions for fostering local development: promoting local content (employment, capacity building of mining administrations, training); encouraging public-private partnerships; and increasing national and local, public and private business opportunities along the mining value chain. </w:t>
      </w:r>
    </w:p>
    <w:p w14:paraId="546A6014" w14:textId="0BAD2DE8" w:rsidR="000B0A1F" w:rsidRPr="00F506AC" w:rsidRDefault="000B0A1F" w:rsidP="000B0A1F">
      <w:pPr>
        <w:rPr>
          <w:lang w:val="en-US"/>
        </w:rPr>
      </w:pPr>
      <w:r w:rsidRPr="00F506AC">
        <w:rPr>
          <w:lang w:val="en-US"/>
        </w:rPr>
        <w:t xml:space="preserve">In 2016, </w:t>
      </w:r>
      <w:r w:rsidR="004115F3">
        <w:rPr>
          <w:lang w:val="en-US"/>
        </w:rPr>
        <w:t>a Pact</w:t>
      </w:r>
      <w:r w:rsidR="00025DC0">
        <w:rPr>
          <w:lang w:val="en-US"/>
        </w:rPr>
        <w:t xml:space="preserve"> </w:t>
      </w:r>
      <w:r w:rsidRPr="00F506AC">
        <w:rPr>
          <w:lang w:val="en-US"/>
        </w:rPr>
        <w:t xml:space="preserve">between mining companies and African governments </w:t>
      </w:r>
      <w:r w:rsidR="004115F3">
        <w:rPr>
          <w:lang w:val="en-US"/>
        </w:rPr>
        <w:t>was</w:t>
      </w:r>
      <w:r w:rsidRPr="00F506AC">
        <w:rPr>
          <w:lang w:val="en-US"/>
        </w:rPr>
        <w:t xml:space="preserve"> launched to support the Vision for Africa's Mining Regime. The VMA </w:t>
      </w:r>
      <w:r w:rsidR="004115F3">
        <w:rPr>
          <w:lang w:val="en-US"/>
        </w:rPr>
        <w:t>Pact</w:t>
      </w:r>
      <w:r w:rsidR="004115F3" w:rsidRPr="00F506AC">
        <w:rPr>
          <w:lang w:val="en-US"/>
        </w:rPr>
        <w:t xml:space="preserve"> </w:t>
      </w:r>
      <w:r w:rsidRPr="00F506AC">
        <w:rPr>
          <w:lang w:val="en-US"/>
        </w:rPr>
        <w:t xml:space="preserve">is modelled on the United Nations Global </w:t>
      </w:r>
      <w:r w:rsidR="004115F3">
        <w:rPr>
          <w:lang w:val="en-US"/>
        </w:rPr>
        <w:t>Pact</w:t>
      </w:r>
      <w:r w:rsidR="004115F3" w:rsidRPr="00F506AC">
        <w:rPr>
          <w:lang w:val="en-US"/>
        </w:rPr>
        <w:t xml:space="preserve"> </w:t>
      </w:r>
      <w:r w:rsidRPr="00F506AC">
        <w:rPr>
          <w:lang w:val="en-US"/>
        </w:rPr>
        <w:t>for International Business</w:t>
      </w:r>
      <w:r w:rsidR="004115F3">
        <w:rPr>
          <w:lang w:val="en-US"/>
        </w:rPr>
        <w:t>es</w:t>
      </w:r>
      <w:r w:rsidRPr="00F506AC">
        <w:rPr>
          <w:lang w:val="en-US"/>
        </w:rPr>
        <w:t xml:space="preserve">, which has been adopted by more than 8,000 companies in 162 countries. The VMA </w:t>
      </w:r>
      <w:r w:rsidR="004115F3">
        <w:rPr>
          <w:lang w:val="en-US"/>
        </w:rPr>
        <w:t>Pact</w:t>
      </w:r>
      <w:r w:rsidR="004115F3" w:rsidRPr="00F506AC">
        <w:rPr>
          <w:lang w:val="en-US"/>
        </w:rPr>
        <w:t xml:space="preserve"> </w:t>
      </w:r>
      <w:r w:rsidRPr="00F506AC">
        <w:rPr>
          <w:lang w:val="en-US"/>
        </w:rPr>
        <w:t xml:space="preserve">aims to establish a public-private partnership for the sustainable and responsible development of the mining sector based on "shared benefits". The main target groups are mining companies, including those involved in projects related to the oil and gas sectors; Chambers of Mines; and other mining associations. The VMA Private Sector </w:t>
      </w:r>
      <w:r w:rsidR="004115F3">
        <w:rPr>
          <w:lang w:val="en-US"/>
        </w:rPr>
        <w:t>Pact</w:t>
      </w:r>
      <w:r w:rsidR="004115F3" w:rsidRPr="00F506AC">
        <w:rPr>
          <w:lang w:val="en-US"/>
        </w:rPr>
        <w:t xml:space="preserve"> </w:t>
      </w:r>
      <w:r w:rsidRPr="00F506AC">
        <w:rPr>
          <w:lang w:val="en-US"/>
        </w:rPr>
        <w:t xml:space="preserve">provides the opportunity to choose the most cost-effective mode of cooperation to achieve the desired results in its implementation. While individual countries generally include the Mining Vision in their mining policy documents, very little mention is made of the commitments made and the level of progress in implementing the VMA </w:t>
      </w:r>
      <w:r w:rsidR="00FB365F">
        <w:rPr>
          <w:lang w:val="en-US"/>
        </w:rPr>
        <w:t>Pact</w:t>
      </w:r>
      <w:r w:rsidR="00FB365F" w:rsidRPr="00F506AC">
        <w:rPr>
          <w:lang w:val="en-US"/>
        </w:rPr>
        <w:t xml:space="preserve"> </w:t>
      </w:r>
      <w:r w:rsidRPr="00F506AC">
        <w:rPr>
          <w:lang w:val="en-US"/>
        </w:rPr>
        <w:t>by all stakeholders.</w:t>
      </w:r>
    </w:p>
    <w:p w14:paraId="0FF4AF38" w14:textId="65656D04" w:rsidR="000B0A1F" w:rsidRPr="00F506AC" w:rsidRDefault="000B0A1F" w:rsidP="000B0A1F">
      <w:pPr>
        <w:rPr>
          <w:lang w:val="en-US"/>
        </w:rPr>
      </w:pPr>
      <w:r w:rsidRPr="00F506AC">
        <w:rPr>
          <w:lang w:val="en-US"/>
        </w:rPr>
        <w:t xml:space="preserve">The analysis of the mining policies and legislation of the countries under study enables us to understand the </w:t>
      </w:r>
      <w:r w:rsidR="00FB365F" w:rsidRPr="00F506AC">
        <w:rPr>
          <w:lang w:val="en-US"/>
        </w:rPr>
        <w:t xml:space="preserve">government’s </w:t>
      </w:r>
      <w:r w:rsidRPr="00F506AC">
        <w:rPr>
          <w:lang w:val="en-US"/>
        </w:rPr>
        <w:t xml:space="preserve">position </w:t>
      </w:r>
      <w:r w:rsidR="00FB365F">
        <w:rPr>
          <w:lang w:val="en-US"/>
        </w:rPr>
        <w:t>regarding</w:t>
      </w:r>
      <w:r w:rsidRPr="00F506AC">
        <w:rPr>
          <w:lang w:val="en-US"/>
        </w:rPr>
        <w:t xml:space="preserve"> community development and its financing and management methods. Guinea, Sierra Leone and Mali have recently (2018) amended their mining policy documents. Guinea has been engaged for several years in a long </w:t>
      </w:r>
      <w:r w:rsidR="00FB365F" w:rsidRPr="00F506AC">
        <w:rPr>
          <w:lang w:val="en-US"/>
        </w:rPr>
        <w:t xml:space="preserve">reform and promotion </w:t>
      </w:r>
      <w:r w:rsidRPr="00F506AC">
        <w:rPr>
          <w:lang w:val="en-US"/>
        </w:rPr>
        <w:t>process of its mining sector, Mali is counting on its mining sector for the post-conflict reconstruction phase, and Sierra Leone has elected a new government in 2018 which seems eager to</w:t>
      </w:r>
      <w:r w:rsidR="00FB365F">
        <w:rPr>
          <w:lang w:val="en-US"/>
        </w:rPr>
        <w:t xml:space="preserve"> rapidly</w:t>
      </w:r>
      <w:r w:rsidRPr="00F506AC">
        <w:rPr>
          <w:lang w:val="en-US"/>
        </w:rPr>
        <w:t xml:space="preserve"> start reform</w:t>
      </w:r>
      <w:r w:rsidR="00FB365F">
        <w:rPr>
          <w:lang w:val="en-US"/>
        </w:rPr>
        <w:t>ing</w:t>
      </w:r>
      <w:r w:rsidRPr="00F506AC">
        <w:rPr>
          <w:lang w:val="en-US"/>
        </w:rPr>
        <w:t xml:space="preserve">. Several countries have also adopted sub-sectoral policies to promote local content in the mining sector (Guinea 2017, Burkina Faso 2020). </w:t>
      </w:r>
    </w:p>
    <w:p w14:paraId="38F2A38D" w14:textId="6579F47E" w:rsidR="000B0A1F" w:rsidRPr="00F506AC" w:rsidRDefault="000B0A1F" w:rsidP="000B0A1F">
      <w:pPr>
        <w:rPr>
          <w:lang w:val="en-US"/>
        </w:rPr>
      </w:pPr>
      <w:r w:rsidRPr="00F506AC">
        <w:rPr>
          <w:lang w:val="en-US"/>
        </w:rPr>
        <w:t xml:space="preserve">Over the past 10 years, many countries have also been recasting, revising or amending their Mining Codes, following a </w:t>
      </w:r>
      <w:r w:rsidR="00DB4E68" w:rsidRPr="00F506AC">
        <w:rPr>
          <w:lang w:val="en-US"/>
        </w:rPr>
        <w:t xml:space="preserve">regional harmonization </w:t>
      </w:r>
      <w:r w:rsidRPr="00F506AC">
        <w:rPr>
          <w:lang w:val="en-US"/>
        </w:rPr>
        <w:t>strategy. In fact, more than 10 years ago, the Economic Community of West African States (ECOWAS) adopted a "Mining Directive" in 2009, a regulatory framework designed to ensure a certain harmoni</w:t>
      </w:r>
      <w:r w:rsidR="00DB4E68">
        <w:rPr>
          <w:lang w:val="en-US"/>
        </w:rPr>
        <w:t>z</w:t>
      </w:r>
      <w:r w:rsidRPr="00F506AC">
        <w:rPr>
          <w:lang w:val="en-US"/>
        </w:rPr>
        <w:t xml:space="preserve">ation and coordination of practices between member states. On reading the Mining Codes and the various policies in force in the ECOWAS member countries under review (i.e. Burkina Faso, Ghana, Guinea, Mali, Senegal and Sierra Leone), it appears that these 6 countries meet the requirements of ECOWAS </w:t>
      </w:r>
      <w:r w:rsidR="00DB4E68">
        <w:rPr>
          <w:lang w:val="en-US"/>
        </w:rPr>
        <w:t>regarding</w:t>
      </w:r>
      <w:r w:rsidRPr="00F506AC">
        <w:rPr>
          <w:lang w:val="en-US"/>
        </w:rPr>
        <w:t xml:space="preserve"> the implementation of the Local Development Mining Funds (LDMF). The local content policies as well as the legal dimensions contained in the various codes also echo the ECOWAS Mining Directive. </w:t>
      </w:r>
    </w:p>
    <w:p w14:paraId="4F793881" w14:textId="55232430" w:rsidR="000B0A1F" w:rsidRPr="00F506AC" w:rsidRDefault="000B0A1F" w:rsidP="000B0A1F">
      <w:pPr>
        <w:rPr>
          <w:lang w:val="en-US"/>
        </w:rPr>
      </w:pPr>
      <w:r w:rsidRPr="00F506AC">
        <w:rPr>
          <w:lang w:val="en-US"/>
        </w:rPr>
        <w:t xml:space="preserve">The West African Economic and Monetary Union (WAEMU) adopted a Community Mining Code in 2003, recently followed by a Community Mining Code </w:t>
      </w:r>
      <w:r w:rsidR="00AF68E9" w:rsidRPr="00F506AC">
        <w:rPr>
          <w:lang w:val="en-US"/>
        </w:rPr>
        <w:t>Revised</w:t>
      </w:r>
      <w:r w:rsidR="00AF68E9">
        <w:rPr>
          <w:lang w:val="en-US"/>
        </w:rPr>
        <w:t xml:space="preserve"> Project</w:t>
      </w:r>
      <w:r w:rsidR="00AF68E9" w:rsidRPr="00F506AC">
        <w:rPr>
          <w:lang w:val="en-US"/>
        </w:rPr>
        <w:t xml:space="preserve"> </w:t>
      </w:r>
      <w:r w:rsidRPr="00F506AC">
        <w:rPr>
          <w:lang w:val="en-US"/>
        </w:rPr>
        <w:t>(2019). After 16 years of implementation, the various stakeholders have noted that the mining sector has undergone changes, with new issues emerging in public debates. These include the poor optimi</w:t>
      </w:r>
      <w:r w:rsidR="00AF68E9">
        <w:rPr>
          <w:lang w:val="en-US"/>
        </w:rPr>
        <w:t>z</w:t>
      </w:r>
      <w:r w:rsidRPr="00F506AC">
        <w:rPr>
          <w:lang w:val="en-US"/>
        </w:rPr>
        <w:t>ation of the socio-economic benefits of mining; the preservation of the environment;</w:t>
      </w:r>
      <w:r w:rsidR="00AF68E9">
        <w:rPr>
          <w:lang w:val="en-US"/>
        </w:rPr>
        <w:t xml:space="preserve"> the</w:t>
      </w:r>
      <w:r w:rsidRPr="00F506AC">
        <w:rPr>
          <w:lang w:val="en-US"/>
        </w:rPr>
        <w:t xml:space="preserve"> insufficient consideration of the </w:t>
      </w:r>
      <w:r w:rsidR="00AF68E9" w:rsidRPr="00F506AC">
        <w:rPr>
          <w:lang w:val="en-US"/>
        </w:rPr>
        <w:t>communities’</w:t>
      </w:r>
      <w:r w:rsidRPr="00F506AC">
        <w:rPr>
          <w:lang w:val="en-US"/>
        </w:rPr>
        <w:t xml:space="preserve"> </w:t>
      </w:r>
      <w:r w:rsidR="00AF68E9" w:rsidRPr="00F506AC">
        <w:rPr>
          <w:lang w:val="en-US"/>
        </w:rPr>
        <w:t xml:space="preserve">interests </w:t>
      </w:r>
      <w:r w:rsidRPr="00F506AC">
        <w:rPr>
          <w:lang w:val="en-US"/>
        </w:rPr>
        <w:t xml:space="preserve">in areas where mining activities take place; the issue of local provision of mining goods and services and the rehabilitation of mining sites at the end of </w:t>
      </w:r>
      <w:r w:rsidR="00AF68E9">
        <w:rPr>
          <w:lang w:val="en-US"/>
        </w:rPr>
        <w:t xml:space="preserve">their </w:t>
      </w:r>
      <w:r w:rsidRPr="00F506AC">
        <w:rPr>
          <w:lang w:val="en-US"/>
        </w:rPr>
        <w:t>exploitation.</w:t>
      </w:r>
    </w:p>
    <w:p w14:paraId="7879965C" w14:textId="5CF7DB72" w:rsidR="000B0A1F" w:rsidRPr="00F506AC" w:rsidRDefault="000B0A1F" w:rsidP="000B0A1F">
      <w:pPr>
        <w:rPr>
          <w:lang w:val="en-US"/>
        </w:rPr>
      </w:pPr>
      <w:r w:rsidRPr="00F506AC">
        <w:rPr>
          <w:lang w:val="en-US"/>
        </w:rPr>
        <w:t>Thus, the majority of the so-called "new generation" codes introduce measures designed to facilitate the arrival of investors while guaranteeing an increase in the mining sector's contribution to the national economy (Guinea, amende</w:t>
      </w:r>
      <w:r w:rsidR="00AF68E9">
        <w:rPr>
          <w:lang w:val="en-US"/>
        </w:rPr>
        <w:t>d its 2011 Code</w:t>
      </w:r>
      <w:r w:rsidRPr="00F506AC">
        <w:rPr>
          <w:lang w:val="en-US"/>
        </w:rPr>
        <w:t xml:space="preserve"> in 201</w:t>
      </w:r>
      <w:r w:rsidR="00AF68E9">
        <w:rPr>
          <w:lang w:val="en-US"/>
        </w:rPr>
        <w:t>3</w:t>
      </w:r>
      <w:r w:rsidRPr="00F506AC">
        <w:rPr>
          <w:lang w:val="en-US"/>
        </w:rPr>
        <w:t xml:space="preserve">, Senegal </w:t>
      </w:r>
      <w:r w:rsidR="00AF68E9">
        <w:rPr>
          <w:lang w:val="en-US"/>
        </w:rPr>
        <w:t xml:space="preserve">in </w:t>
      </w:r>
      <w:r w:rsidRPr="00F506AC">
        <w:rPr>
          <w:lang w:val="en-US"/>
        </w:rPr>
        <w:t xml:space="preserve">2016, Burkina Faso </w:t>
      </w:r>
      <w:r w:rsidR="00AF68E9">
        <w:rPr>
          <w:lang w:val="en-US"/>
        </w:rPr>
        <w:t xml:space="preserve">in </w:t>
      </w:r>
      <w:r w:rsidRPr="00F506AC">
        <w:rPr>
          <w:lang w:val="en-US"/>
        </w:rPr>
        <w:t>2015, Mali</w:t>
      </w:r>
      <w:r w:rsidR="00AF68E9">
        <w:rPr>
          <w:lang w:val="en-US"/>
        </w:rPr>
        <w:t xml:space="preserve"> in </w:t>
      </w:r>
      <w:r w:rsidRPr="00F506AC">
        <w:rPr>
          <w:lang w:val="en-US"/>
        </w:rPr>
        <w:t>2019, Sierra Leone</w:t>
      </w:r>
      <w:r w:rsidR="00AF68E9">
        <w:rPr>
          <w:lang w:val="en-US"/>
        </w:rPr>
        <w:t>’s</w:t>
      </w:r>
      <w:r w:rsidRPr="00F506AC">
        <w:rPr>
          <w:lang w:val="en-US"/>
        </w:rPr>
        <w:t xml:space="preserve"> </w:t>
      </w:r>
      <w:r w:rsidR="00AF68E9">
        <w:rPr>
          <w:lang w:val="en-US"/>
        </w:rPr>
        <w:t xml:space="preserve">code is in </w:t>
      </w:r>
      <w:r w:rsidRPr="00F506AC">
        <w:rPr>
          <w:lang w:val="en-US"/>
        </w:rPr>
        <w:t>revision since 2019, Ghana</w:t>
      </w:r>
      <w:r w:rsidR="00AF68E9">
        <w:rPr>
          <w:lang w:val="en-US"/>
        </w:rPr>
        <w:t>’s</w:t>
      </w:r>
      <w:r w:rsidRPr="00F506AC">
        <w:rPr>
          <w:lang w:val="en-US"/>
        </w:rPr>
        <w:t xml:space="preserve"> code </w:t>
      </w:r>
      <w:r w:rsidR="00AF68E9">
        <w:rPr>
          <w:lang w:val="en-US"/>
        </w:rPr>
        <w:t xml:space="preserve">was </w:t>
      </w:r>
      <w:r w:rsidRPr="00F506AC">
        <w:rPr>
          <w:lang w:val="en-US"/>
        </w:rPr>
        <w:t>amended in 2015, South Afric</w:t>
      </w:r>
      <w:r w:rsidR="00AF68E9">
        <w:rPr>
          <w:lang w:val="en-US"/>
        </w:rPr>
        <w:t>a had a</w:t>
      </w:r>
      <w:r w:rsidRPr="00F506AC">
        <w:rPr>
          <w:lang w:val="en-US"/>
        </w:rPr>
        <w:t xml:space="preserve"> new Mining Charter in 2018). Implementing texts continue to be adopted sometimes several years after the Mining Codes have </w:t>
      </w:r>
      <w:r w:rsidRPr="00F506AC">
        <w:rPr>
          <w:lang w:val="en-US"/>
        </w:rPr>
        <w:lastRenderedPageBreak/>
        <w:t>been adopted. At the local level, there is a desire for better management of environmental and socio-economic impacts and an emphasis on financing local development. The analysis of the Mining Codes shows a trend towards a certain harmoni</w:t>
      </w:r>
      <w:r w:rsidR="006A6ED2">
        <w:rPr>
          <w:lang w:val="en-US"/>
        </w:rPr>
        <w:t>z</w:t>
      </w:r>
      <w:r w:rsidRPr="00F506AC">
        <w:rPr>
          <w:lang w:val="en-US"/>
        </w:rPr>
        <w:t xml:space="preserve">ation, </w:t>
      </w:r>
      <w:r w:rsidR="006A6ED2">
        <w:rPr>
          <w:lang w:val="en-US"/>
        </w:rPr>
        <w:t>that includes</w:t>
      </w:r>
      <w:r w:rsidR="006A6ED2" w:rsidRPr="00F506AC">
        <w:rPr>
          <w:lang w:val="en-US"/>
        </w:rPr>
        <w:t xml:space="preserve"> </w:t>
      </w:r>
      <w:r w:rsidRPr="00F506AC">
        <w:rPr>
          <w:lang w:val="en-US"/>
        </w:rPr>
        <w:t xml:space="preserve">the appearance of the Mining Funds for Local Development (FMDL), the </w:t>
      </w:r>
      <w:r w:rsidR="006A6ED2" w:rsidRPr="00F506AC">
        <w:rPr>
          <w:lang w:val="en-US"/>
        </w:rPr>
        <w:t xml:space="preserve">transparency </w:t>
      </w:r>
      <w:r w:rsidRPr="00F506AC">
        <w:rPr>
          <w:lang w:val="en-US"/>
        </w:rPr>
        <w:t xml:space="preserve">principles, associated with the implementation of the EITI (all countries are members with the exception of South Africa), a better integration of companies' CSR policies in their </w:t>
      </w:r>
      <w:r w:rsidR="006A6ED2">
        <w:rPr>
          <w:lang w:val="en-US"/>
        </w:rPr>
        <w:t xml:space="preserve">implementation </w:t>
      </w:r>
      <w:r w:rsidRPr="00F506AC">
        <w:rPr>
          <w:lang w:val="en-US"/>
        </w:rPr>
        <w:t xml:space="preserve">territory in compliance with Local Development Plans, or </w:t>
      </w:r>
      <w:r w:rsidR="006A6ED2">
        <w:rPr>
          <w:lang w:val="en-US"/>
        </w:rPr>
        <w:t xml:space="preserve">even </w:t>
      </w:r>
      <w:r w:rsidRPr="00F506AC">
        <w:rPr>
          <w:lang w:val="en-US"/>
        </w:rPr>
        <w:t xml:space="preserve">the publication of mining conventions (Malian Code 2019), a practice already in force in Guinea. </w:t>
      </w:r>
    </w:p>
    <w:p w14:paraId="6B8A3E08" w14:textId="2BAA97E1" w:rsidR="000B0A1F" w:rsidRPr="00F506AC" w:rsidRDefault="006A6ED2" w:rsidP="000B0A1F">
      <w:pPr>
        <w:pStyle w:val="Heading1"/>
        <w:rPr>
          <w:lang w:val="en-US"/>
        </w:rPr>
      </w:pPr>
      <w:r>
        <w:rPr>
          <w:lang w:val="en-US"/>
        </w:rPr>
        <w:t>Funding</w:t>
      </w:r>
      <w:r w:rsidRPr="00F506AC">
        <w:rPr>
          <w:lang w:val="en-US"/>
        </w:rPr>
        <w:t xml:space="preserve"> </w:t>
      </w:r>
      <w:r w:rsidR="000B0A1F" w:rsidRPr="00F506AC">
        <w:rPr>
          <w:lang w:val="en-US"/>
        </w:rPr>
        <w:t>mechanisms for local development in the mining sector</w:t>
      </w:r>
    </w:p>
    <w:p w14:paraId="317AA76D" w14:textId="77777777" w:rsidR="00397FC5" w:rsidRPr="00F506AC" w:rsidRDefault="000B0A1F" w:rsidP="00397FC5">
      <w:pPr>
        <w:pStyle w:val="Heading2"/>
        <w:rPr>
          <w:lang w:val="en-US"/>
        </w:rPr>
      </w:pPr>
      <w:r w:rsidRPr="00F506AC">
        <w:rPr>
          <w:lang w:val="en-US"/>
        </w:rPr>
        <w:t>State mechanisms for financing and promoting local development</w:t>
      </w:r>
    </w:p>
    <w:p w14:paraId="4975D770" w14:textId="3AD140F6" w:rsidR="000B0A1F" w:rsidRPr="00F506AC" w:rsidRDefault="000B0A1F" w:rsidP="000B0A1F">
      <w:pPr>
        <w:rPr>
          <w:rFonts w:ascii="Times" w:eastAsia="Times New Roman" w:hAnsi="Times"/>
          <w:szCs w:val="20"/>
          <w:lang w:val="en-US" w:eastAsia="fr-FR"/>
        </w:rPr>
      </w:pPr>
      <w:r w:rsidRPr="00F506AC">
        <w:rPr>
          <w:lang w:val="en-US"/>
        </w:rPr>
        <w:t xml:space="preserve">Several States have attempted to innovate in the ways in which mining rent is managed and used. One example is the creation of the Mining Fund for Future Generations (FOMIN-2019) in the Democratic Republic of Congo, which is fed by 10% </w:t>
      </w:r>
      <w:r w:rsidR="005250B7">
        <w:rPr>
          <w:lang w:val="en-US"/>
        </w:rPr>
        <w:t>with</w:t>
      </w:r>
      <w:r w:rsidRPr="00F506AC">
        <w:rPr>
          <w:lang w:val="en-US"/>
        </w:rPr>
        <w:t xml:space="preserve"> mining royalties paid by mining companies. This structure is not yet operational. </w:t>
      </w:r>
      <w:r w:rsidRPr="00F506AC">
        <w:rPr>
          <w:rFonts w:cs="Arial"/>
          <w:lang w:val="en-US"/>
        </w:rPr>
        <w:t xml:space="preserve">In Ghana, the project consists, through a company </w:t>
      </w:r>
      <w:r w:rsidR="00A155DE" w:rsidRPr="00F506AC">
        <w:rPr>
          <w:rFonts w:cs="Arial"/>
          <w:lang w:val="en-US"/>
        </w:rPr>
        <w:t xml:space="preserve">listed on the </w:t>
      </w:r>
      <w:r w:rsidRPr="00F506AC">
        <w:rPr>
          <w:rFonts w:cs="Arial"/>
          <w:lang w:val="en-US"/>
        </w:rPr>
        <w:t xml:space="preserve">London Stock Exchange, of selling 76% of the royalties generated by the country's 16 major gold mines to the company Agyapa Royalites Limited. This company would be in charge of raising 400-500 million </w:t>
      </w:r>
      <w:r w:rsidR="007512F7" w:rsidRPr="00F506AC">
        <w:rPr>
          <w:rFonts w:cs="Arial"/>
          <w:lang w:val="en-US"/>
        </w:rPr>
        <w:t>US$</w:t>
      </w:r>
      <w:r w:rsidR="007512F7">
        <w:rPr>
          <w:rFonts w:cs="Arial"/>
          <w:lang w:val="en-US"/>
        </w:rPr>
        <w:t xml:space="preserve"> </w:t>
      </w:r>
      <w:r w:rsidRPr="00F506AC">
        <w:rPr>
          <w:rFonts w:cs="Arial"/>
          <w:lang w:val="en-US"/>
        </w:rPr>
        <w:t>on the stock market. The Ghanaian Executive presented this initiative as an opportunity to centrali</w:t>
      </w:r>
      <w:r w:rsidR="005250B7">
        <w:rPr>
          <w:rFonts w:cs="Arial"/>
          <w:lang w:val="en-US"/>
        </w:rPr>
        <w:t>z</w:t>
      </w:r>
      <w:r w:rsidRPr="00F506AC">
        <w:rPr>
          <w:rFonts w:cs="Arial"/>
          <w:lang w:val="en-US"/>
        </w:rPr>
        <w:t xml:space="preserve">e mining royalties, raise funds and thus avoid resorting to debt to finance the development of the country's major projects. Also following criticism from the political opposition and </w:t>
      </w:r>
      <w:r w:rsidR="004C71F0">
        <w:rPr>
          <w:rFonts w:cs="Arial"/>
          <w:lang w:val="en-US"/>
        </w:rPr>
        <w:t xml:space="preserve">the </w:t>
      </w:r>
      <w:r w:rsidRPr="00F506AC">
        <w:rPr>
          <w:rFonts w:cs="Arial"/>
          <w:lang w:val="en-US"/>
        </w:rPr>
        <w:t>civil society, which pointed out several irregularities in the establishment and</w:t>
      </w:r>
      <w:r w:rsidR="004C71F0">
        <w:rPr>
          <w:rFonts w:cs="Arial"/>
          <w:lang w:val="en-US"/>
        </w:rPr>
        <w:t xml:space="preserve"> the public</w:t>
      </w:r>
      <w:r w:rsidRPr="00F506AC">
        <w:rPr>
          <w:rFonts w:cs="Arial"/>
          <w:lang w:val="en-US"/>
        </w:rPr>
        <w:t xml:space="preserve"> listing of the fund, the parliament was invited by the President of the Republic to evaluate a new project (second parliamentary review) at the end of 2020.</w:t>
      </w:r>
    </w:p>
    <w:p w14:paraId="48D6D188" w14:textId="0E7F022A" w:rsidR="000B0A1F" w:rsidRPr="00F506AC" w:rsidRDefault="000B0A1F" w:rsidP="000B0A1F">
      <w:pPr>
        <w:rPr>
          <w:lang w:val="en-US"/>
        </w:rPr>
      </w:pPr>
      <w:r w:rsidRPr="00F506AC">
        <w:rPr>
          <w:lang w:val="en-US"/>
        </w:rPr>
        <w:t xml:space="preserve">The mechanism for financing local development through the FMDL can be found in most of the latest versions of the Mining Codes </w:t>
      </w:r>
      <w:r w:rsidR="004C71F0">
        <w:rPr>
          <w:lang w:val="en-US"/>
        </w:rPr>
        <w:t>of</w:t>
      </w:r>
      <w:r w:rsidR="004C71F0" w:rsidRPr="00F506AC">
        <w:rPr>
          <w:lang w:val="en-US"/>
        </w:rPr>
        <w:t xml:space="preserve"> </w:t>
      </w:r>
      <w:r w:rsidRPr="00F506AC">
        <w:rPr>
          <w:lang w:val="en-US"/>
        </w:rPr>
        <w:t xml:space="preserve">West African countries. It is currently the main mechanism for reallocating part of the mining rent to local development. It is generally a percentage of the annual turnover of companies that have entered the exploitation phase, which is </w:t>
      </w:r>
      <w:r w:rsidR="004C71F0">
        <w:rPr>
          <w:lang w:val="en-US"/>
        </w:rPr>
        <w:t>redistributed</w:t>
      </w:r>
      <w:r w:rsidRPr="00F506AC">
        <w:rPr>
          <w:lang w:val="en-US"/>
        </w:rPr>
        <w:t xml:space="preserve"> into the budgets of local or even regional authorities according to distribution keys specific to each country. The </w:t>
      </w:r>
      <w:r w:rsidR="00937815">
        <w:rPr>
          <w:lang w:val="en-US"/>
        </w:rPr>
        <w:t xml:space="preserve">operative </w:t>
      </w:r>
      <w:r w:rsidRPr="00F506AC">
        <w:rPr>
          <w:lang w:val="en-US"/>
        </w:rPr>
        <w:t xml:space="preserve">modes of the </w:t>
      </w:r>
      <w:r w:rsidR="00686BF4">
        <w:rPr>
          <w:lang w:val="en-US"/>
        </w:rPr>
        <w:t>FMDL</w:t>
      </w:r>
      <w:r w:rsidRPr="00F506AC">
        <w:rPr>
          <w:lang w:val="en-US"/>
        </w:rPr>
        <w:t xml:space="preserve"> are detailed in the framework of the study for each of the countries. </w:t>
      </w:r>
    </w:p>
    <w:p w14:paraId="7431332F" w14:textId="0DCBF841" w:rsidR="000B0A1F" w:rsidRPr="00F506AC" w:rsidRDefault="000B0A1F" w:rsidP="000B0A1F">
      <w:pPr>
        <w:rPr>
          <w:lang w:val="en-US"/>
        </w:rPr>
      </w:pPr>
      <w:r w:rsidRPr="00F506AC">
        <w:rPr>
          <w:lang w:val="en-US"/>
        </w:rPr>
        <w:t>Although in some countries their inclusion in the Mining Code dates back several years, the implementing legislation has been slow</w:t>
      </w:r>
      <w:r w:rsidR="00937815">
        <w:rPr>
          <w:lang w:val="en-US"/>
        </w:rPr>
        <w:t>ly adopted</w:t>
      </w:r>
      <w:r w:rsidRPr="00F506AC">
        <w:rPr>
          <w:lang w:val="en-US"/>
        </w:rPr>
        <w:t xml:space="preserve">, which has contributed to delay their implementation. In most of the countries under review, the implementation of such funds is therefore very recent, or still in the process of being operationalized. The years of first implementation of Local Development Mining Funds are as follows in the countries under review: Burkina Faso: 2020; Guinea: 2019; Ghana: 2019; Mali: Legal framework adopted in 2019, awaiting implementing legislation; Senegal: information not available (Mining Code of 2016); Sierra Leone: 2009; South Africa: 2018. </w:t>
      </w:r>
    </w:p>
    <w:p w14:paraId="1E8577AE" w14:textId="5F97159B" w:rsidR="000B0A1F" w:rsidRPr="00F506AC" w:rsidRDefault="000B0A1F" w:rsidP="000B0A1F">
      <w:pPr>
        <w:rPr>
          <w:lang w:val="en-US"/>
        </w:rPr>
      </w:pPr>
      <w:r w:rsidRPr="00F506AC">
        <w:rPr>
          <w:lang w:val="en-US"/>
        </w:rPr>
        <w:t xml:space="preserve">Recently, with the implementation of the </w:t>
      </w:r>
      <w:r w:rsidR="00686BF4">
        <w:rPr>
          <w:lang w:val="en-US"/>
        </w:rPr>
        <w:t>FMDL</w:t>
      </w:r>
      <w:r w:rsidRPr="00F506AC">
        <w:rPr>
          <w:lang w:val="en-US"/>
        </w:rPr>
        <w:t xml:space="preserve">, local authorities, with a focus on mining communities, have been given a very different role with regard to local development, which now places them at the </w:t>
      </w:r>
      <w:r w:rsidR="003B38CF" w:rsidRPr="00F506AC">
        <w:rPr>
          <w:lang w:val="en-US"/>
        </w:rPr>
        <w:t>center</w:t>
      </w:r>
      <w:r w:rsidRPr="00F506AC">
        <w:rPr>
          <w:lang w:val="en-US"/>
        </w:rPr>
        <w:t xml:space="preserve"> of the process. The establishment of such funds is intended to give local authorities the means to carry out mandates conferred </w:t>
      </w:r>
      <w:r w:rsidR="003B38CF">
        <w:rPr>
          <w:lang w:val="en-US"/>
        </w:rPr>
        <w:t>to</w:t>
      </w:r>
      <w:r w:rsidR="003B38CF" w:rsidRPr="00F506AC">
        <w:rPr>
          <w:lang w:val="en-US"/>
        </w:rPr>
        <w:t xml:space="preserve"> </w:t>
      </w:r>
      <w:r w:rsidRPr="00F506AC">
        <w:rPr>
          <w:lang w:val="en-US"/>
        </w:rPr>
        <w:t xml:space="preserve">them by </w:t>
      </w:r>
      <w:r w:rsidR="003B38CF" w:rsidRPr="00F506AC">
        <w:rPr>
          <w:lang w:val="en-US"/>
        </w:rPr>
        <w:t>decentralization</w:t>
      </w:r>
      <w:r w:rsidRPr="00F506AC">
        <w:rPr>
          <w:lang w:val="en-US"/>
        </w:rPr>
        <w:t xml:space="preserve"> policies. There are currently issues </w:t>
      </w:r>
      <w:r w:rsidR="003B38CF">
        <w:rPr>
          <w:lang w:val="en-US"/>
        </w:rPr>
        <w:t>on the</w:t>
      </w:r>
      <w:r w:rsidRPr="00F506AC">
        <w:rPr>
          <w:lang w:val="en-US"/>
        </w:rPr>
        <w:t xml:space="preserve"> local competences </w:t>
      </w:r>
      <w:r w:rsidR="003B38CF">
        <w:rPr>
          <w:lang w:val="en-US"/>
        </w:rPr>
        <w:t>regarding</w:t>
      </w:r>
      <w:r w:rsidRPr="00F506AC">
        <w:rPr>
          <w:lang w:val="en-US"/>
        </w:rPr>
        <w:t xml:space="preserve"> the management of these funds, which can amount to hundreds of thousands of USD for some mining communes. There are also challenges associated </w:t>
      </w:r>
      <w:r w:rsidR="003B38CF">
        <w:rPr>
          <w:lang w:val="en-US"/>
        </w:rPr>
        <w:t>to</w:t>
      </w:r>
      <w:r w:rsidR="003B38CF" w:rsidRPr="00F506AC">
        <w:rPr>
          <w:lang w:val="en-US"/>
        </w:rPr>
        <w:t xml:space="preserve"> </w:t>
      </w:r>
      <w:r w:rsidRPr="00F506AC">
        <w:rPr>
          <w:lang w:val="en-US"/>
        </w:rPr>
        <w:t xml:space="preserve">the accountability and traceability mechanisms of the funds. There is also a proven risk of seeing an increase in the number of infrastructure projects with a local social vocation to the detriment of strategies </w:t>
      </w:r>
      <w:r w:rsidR="003B38CF">
        <w:rPr>
          <w:lang w:val="en-US"/>
        </w:rPr>
        <w:t>for joint</w:t>
      </w:r>
      <w:r w:rsidRPr="00F506AC">
        <w:rPr>
          <w:lang w:val="en-US"/>
        </w:rPr>
        <w:t xml:space="preserve"> projects between the different territorial levels (municipal, regional) or even structuring projects </w:t>
      </w:r>
      <w:r w:rsidR="003B38CF" w:rsidRPr="00F506AC">
        <w:rPr>
          <w:lang w:val="en-US"/>
        </w:rPr>
        <w:t>favoring</w:t>
      </w:r>
      <w:r w:rsidRPr="00F506AC">
        <w:rPr>
          <w:lang w:val="en-US"/>
        </w:rPr>
        <w:t xml:space="preserve"> the diversification of the local economic fabric. Anxious to ensure good governance of these </w:t>
      </w:r>
      <w:r w:rsidR="00686BF4">
        <w:rPr>
          <w:lang w:val="en-US"/>
        </w:rPr>
        <w:t>FMDL</w:t>
      </w:r>
      <w:r w:rsidRPr="00F506AC">
        <w:rPr>
          <w:lang w:val="en-US"/>
        </w:rPr>
        <w:t xml:space="preserve">, the governments of Burkina Faso (2018) and Côte d'Ivoire (2019) have commissioned audits to monitor the process of their implementation. </w:t>
      </w:r>
    </w:p>
    <w:p w14:paraId="014D0D61" w14:textId="174E8D12" w:rsidR="000B0A1F" w:rsidRPr="00F506AC" w:rsidRDefault="000B0A1F" w:rsidP="000B0A1F">
      <w:pPr>
        <w:pStyle w:val="PuceNiveau1"/>
        <w:numPr>
          <w:ilvl w:val="0"/>
          <w:numId w:val="0"/>
        </w:numPr>
        <w:rPr>
          <w:lang w:val="en-US"/>
        </w:rPr>
      </w:pPr>
      <w:r w:rsidRPr="00F506AC">
        <w:rPr>
          <w:lang w:val="en-US"/>
        </w:rPr>
        <w:t xml:space="preserve">Longer entrenched in African Mining Codes, surface royalties remain in the majority of Mining Codes. It is a tax designed to guarantee </w:t>
      </w:r>
      <w:r w:rsidR="00172507" w:rsidRPr="00F506AC">
        <w:rPr>
          <w:lang w:val="en-US"/>
        </w:rPr>
        <w:t>financial benefits</w:t>
      </w:r>
      <w:r w:rsidR="00172507">
        <w:rPr>
          <w:lang w:val="en-US"/>
        </w:rPr>
        <w:t xml:space="preserve"> to</w:t>
      </w:r>
      <w:r w:rsidR="00172507" w:rsidRPr="00F506AC">
        <w:rPr>
          <w:lang w:val="en-US"/>
        </w:rPr>
        <w:t xml:space="preserve"> </w:t>
      </w:r>
      <w:r w:rsidRPr="00F506AC">
        <w:rPr>
          <w:lang w:val="en-US"/>
        </w:rPr>
        <w:t>local communities</w:t>
      </w:r>
      <w:r w:rsidR="00172507">
        <w:rPr>
          <w:lang w:val="en-US"/>
        </w:rPr>
        <w:t xml:space="preserve"> </w:t>
      </w:r>
      <w:r w:rsidRPr="00F506AC">
        <w:rPr>
          <w:lang w:val="en-US"/>
        </w:rPr>
        <w:t xml:space="preserve">for the use of their land by the mining project. They are generally calculated annually according to the phase of the project and the surface area occupied. Depending on the country, the share devolved to local communities varies (20% in Burkina Faso versus 100% </w:t>
      </w:r>
      <w:r w:rsidRPr="00F506AC">
        <w:rPr>
          <w:lang w:val="en-US"/>
        </w:rPr>
        <w:lastRenderedPageBreak/>
        <w:t xml:space="preserve">in Guinea). In all cases, the amounts allocated are much less substantial than those generated through the </w:t>
      </w:r>
      <w:r w:rsidR="00686BF4">
        <w:rPr>
          <w:lang w:val="en-US"/>
        </w:rPr>
        <w:t>FMDL</w:t>
      </w:r>
      <w:r w:rsidRPr="00F506AC">
        <w:rPr>
          <w:lang w:val="en-US"/>
        </w:rPr>
        <w:t>.</w:t>
      </w:r>
    </w:p>
    <w:p w14:paraId="0406FA70" w14:textId="39B12A0B" w:rsidR="000B0A1F" w:rsidRPr="00F506AC" w:rsidRDefault="000B0A1F" w:rsidP="000B0A1F">
      <w:pPr>
        <w:rPr>
          <w:lang w:val="en-US"/>
        </w:rPr>
      </w:pPr>
      <w:r w:rsidRPr="00F506AC">
        <w:rPr>
          <w:lang w:val="en-US"/>
        </w:rPr>
        <w:t>The Community Development Agreements (CDAs</w:t>
      </w:r>
      <w:r w:rsidR="00686BF4">
        <w:rPr>
          <w:lang w:val="en-US"/>
        </w:rPr>
        <w:t xml:space="preserve"> or Accords de développement communautaire - ADC</w:t>
      </w:r>
      <w:r w:rsidRPr="00F506AC">
        <w:rPr>
          <w:lang w:val="en-US"/>
        </w:rPr>
        <w:t xml:space="preserve">) are another mechanism for financing local development, which could gradually disappear in </w:t>
      </w:r>
      <w:r w:rsidR="004C6B7A" w:rsidRPr="00F506AC">
        <w:rPr>
          <w:lang w:val="en-US"/>
        </w:rPr>
        <w:t>favor</w:t>
      </w:r>
      <w:r w:rsidRPr="00F506AC">
        <w:rPr>
          <w:lang w:val="en-US"/>
        </w:rPr>
        <w:t xml:space="preserve"> of the GFCDs. Community Development Agreements are </w:t>
      </w:r>
      <w:r w:rsidR="004C6B7A" w:rsidRPr="00F506AC">
        <w:rPr>
          <w:lang w:val="en-US"/>
        </w:rPr>
        <w:t>characterized</w:t>
      </w:r>
      <w:r w:rsidRPr="00F506AC">
        <w:rPr>
          <w:lang w:val="en-US"/>
        </w:rPr>
        <w:t xml:space="preserve"> by a mutual commitment, in the form of a contract, between the mining company and the communities impacted by its project. They dictate the amount of CSR funds that the company will provide for community development and how they will be managed, specifying the responsibilities of the stakeholders involved. This mechanism for financing and planning local development can be found in three of the countries under review: Guinea, Mali and Sierra Leone.</w:t>
      </w:r>
    </w:p>
    <w:p w14:paraId="1AC25702" w14:textId="0480DF41" w:rsidR="000B0A1F" w:rsidRPr="00F506AC" w:rsidRDefault="000B0A1F" w:rsidP="000B0A1F">
      <w:pPr>
        <w:rPr>
          <w:lang w:val="en-US"/>
        </w:rPr>
      </w:pPr>
      <w:r w:rsidRPr="00F506AC">
        <w:rPr>
          <w:lang w:val="en-US"/>
        </w:rPr>
        <w:t xml:space="preserve">Another intervention strategy, policies to promote local content are essentially structured around job creation and the local and national supply of goods and services (or even the processing of mining products). All the countries under review now have a national policy on local content in the mining sector, binding measures contained in mining codes or even requirements in mining conventions. It can also be seen that in all the countries, the promotion of local content in the mining sector </w:t>
      </w:r>
      <w:r w:rsidR="00E37B96" w:rsidRPr="00F506AC">
        <w:rPr>
          <w:lang w:val="en-US"/>
        </w:rPr>
        <w:t>mobilizes</w:t>
      </w:r>
      <w:r w:rsidRPr="00F506AC">
        <w:rPr>
          <w:lang w:val="en-US"/>
        </w:rPr>
        <w:t xml:space="preserve"> numerous actors: States, Chambers of Mines, Technical and Financial Partners, private companies, etc. In an ever-increasing number of countries, the Extractive Industries Transparency Initiative (EITI) reports now include data on the level of employment and even national supply. For example, the 2018 EITI report for Senegal includes the total number of national and international suppliers and the total value of expenditures</w:t>
      </w:r>
      <w:r w:rsidRPr="00F506AC">
        <w:rPr>
          <w:rFonts w:cs="Arial"/>
          <w:szCs w:val="20"/>
          <w:lang w:val="en-US"/>
        </w:rPr>
        <w:t xml:space="preserve">. Mali presents employment figures </w:t>
      </w:r>
      <w:r w:rsidR="00E37B96" w:rsidRPr="00F506AC">
        <w:rPr>
          <w:rFonts w:cs="Arial"/>
          <w:szCs w:val="20"/>
          <w:lang w:val="en-US"/>
        </w:rPr>
        <w:t xml:space="preserve">disaggregated </w:t>
      </w:r>
      <w:r w:rsidRPr="00F506AC">
        <w:rPr>
          <w:rFonts w:cs="Arial"/>
          <w:szCs w:val="20"/>
          <w:lang w:val="en-US"/>
        </w:rPr>
        <w:t>per national and foreign employees, both permanent and temporary, provided by companies and their subcontractors. As of 2014, Ghana presents a description of local content provisions. Enterprises have been required to report employment and supplies from local and foreign sources.</w:t>
      </w:r>
      <w:r w:rsidR="00E37B96">
        <w:rPr>
          <w:rFonts w:cs="Arial"/>
          <w:szCs w:val="20"/>
          <w:lang w:val="en-US"/>
        </w:rPr>
        <w:t xml:space="preserve"> </w:t>
      </w:r>
    </w:p>
    <w:p w14:paraId="2C90AF2B" w14:textId="3DFC3245" w:rsidR="000B0A1F" w:rsidRPr="00F506AC" w:rsidRDefault="000B0A1F" w:rsidP="000B0A1F">
      <w:pPr>
        <w:rPr>
          <w:lang w:val="en-US"/>
        </w:rPr>
      </w:pPr>
      <w:r w:rsidRPr="00F506AC">
        <w:rPr>
          <w:lang w:val="en-US"/>
        </w:rPr>
        <w:t xml:space="preserve">Despite some progress, the main challenges remain </w:t>
      </w:r>
      <w:r w:rsidR="00265339">
        <w:rPr>
          <w:lang w:val="en-US"/>
        </w:rPr>
        <w:t>in</w:t>
      </w:r>
      <w:r w:rsidRPr="00F506AC">
        <w:rPr>
          <w:lang w:val="en-US"/>
        </w:rPr>
        <w:t xml:space="preserve"> implementing and evaluating the impact of local content policies. Available figures show that the share of local </w:t>
      </w:r>
      <w:r w:rsidR="00265339">
        <w:rPr>
          <w:lang w:val="en-US"/>
        </w:rPr>
        <w:t>supply</w:t>
      </w:r>
      <w:r w:rsidR="00265339" w:rsidRPr="00F506AC">
        <w:rPr>
          <w:lang w:val="en-US"/>
        </w:rPr>
        <w:t xml:space="preserve"> </w:t>
      </w:r>
      <w:r w:rsidRPr="00F506AC">
        <w:rPr>
          <w:lang w:val="en-US"/>
        </w:rPr>
        <w:t xml:space="preserve">of goods and services in the countries under review still rarely exceeds 15-20 per cent of all contracts signed by mining companies. The main challenges identified to truly convert local content policies into a lever for integrating the project in </w:t>
      </w:r>
      <w:r w:rsidR="00265339">
        <w:rPr>
          <w:lang w:val="en-US"/>
        </w:rPr>
        <w:t>its implementation</w:t>
      </w:r>
      <w:r w:rsidR="00265339" w:rsidRPr="00F506AC">
        <w:rPr>
          <w:lang w:val="en-US"/>
        </w:rPr>
        <w:t xml:space="preserve"> </w:t>
      </w:r>
      <w:r w:rsidRPr="00F506AC">
        <w:rPr>
          <w:lang w:val="en-US"/>
        </w:rPr>
        <w:t xml:space="preserve">territory are: the lack of available local skills, the often limited financial capacities of SME/SMIs, the difficulties encountered in meeting quality standards, delivery </w:t>
      </w:r>
      <w:r w:rsidR="004239CD">
        <w:rPr>
          <w:lang w:val="en-US"/>
        </w:rPr>
        <w:t>delays</w:t>
      </w:r>
      <w:r w:rsidR="004239CD" w:rsidRPr="00F506AC">
        <w:rPr>
          <w:lang w:val="en-US"/>
        </w:rPr>
        <w:t xml:space="preserve"> </w:t>
      </w:r>
      <w:r w:rsidRPr="00F506AC">
        <w:rPr>
          <w:lang w:val="en-US"/>
        </w:rPr>
        <w:t xml:space="preserve">and regularity in the supply of goods and services, compliance with international safety and hygiene standards, the risk of diverting the promotion of local content to practices based on clientelism and corruption, etc. </w:t>
      </w:r>
    </w:p>
    <w:p w14:paraId="459CCB17" w14:textId="0F215032" w:rsidR="000B0A1F" w:rsidRPr="00F506AC" w:rsidRDefault="000B0A1F" w:rsidP="000B0A1F">
      <w:pPr>
        <w:pStyle w:val="Heading2"/>
        <w:rPr>
          <w:lang w:val="en-US"/>
        </w:rPr>
      </w:pPr>
      <w:r w:rsidRPr="00F506AC">
        <w:rPr>
          <w:lang w:val="en-US"/>
        </w:rPr>
        <w:t xml:space="preserve">Collaborative </w:t>
      </w:r>
      <w:r w:rsidR="004239CD">
        <w:rPr>
          <w:lang w:val="en-US"/>
        </w:rPr>
        <w:t>funding</w:t>
      </w:r>
      <w:r w:rsidR="004239CD" w:rsidRPr="00F506AC">
        <w:rPr>
          <w:lang w:val="en-US"/>
        </w:rPr>
        <w:t xml:space="preserve"> </w:t>
      </w:r>
      <w:r w:rsidRPr="00F506AC">
        <w:rPr>
          <w:lang w:val="en-US"/>
        </w:rPr>
        <w:t>involving technical and financial partners</w:t>
      </w:r>
    </w:p>
    <w:p w14:paraId="2B2817F9" w14:textId="5356DD00" w:rsidR="000B0A1F" w:rsidRPr="00F506AC" w:rsidRDefault="004239CD" w:rsidP="000B0A1F">
      <w:pPr>
        <w:rPr>
          <w:lang w:val="en-US"/>
        </w:rPr>
      </w:pPr>
      <w:r>
        <w:rPr>
          <w:lang w:val="en-US"/>
        </w:rPr>
        <w:t>H</w:t>
      </w:r>
      <w:r w:rsidRPr="00F506AC">
        <w:rPr>
          <w:lang w:val="en-US"/>
        </w:rPr>
        <w:t>eavily invested in the mining sector</w:t>
      </w:r>
      <w:r>
        <w:rPr>
          <w:lang w:val="en-US"/>
        </w:rPr>
        <w:t>,</w:t>
      </w:r>
      <w:r w:rsidRPr="00F506AC">
        <w:rPr>
          <w:lang w:val="en-US"/>
        </w:rPr>
        <w:t xml:space="preserve"> </w:t>
      </w:r>
      <w:r>
        <w:rPr>
          <w:lang w:val="en-US"/>
        </w:rPr>
        <w:t>i</w:t>
      </w:r>
      <w:r w:rsidR="000B0A1F" w:rsidRPr="00F506AC">
        <w:rPr>
          <w:lang w:val="en-US"/>
        </w:rPr>
        <w:t>nternational financial institutions are</w:t>
      </w:r>
      <w:r>
        <w:rPr>
          <w:lang w:val="en-US"/>
        </w:rPr>
        <w:t xml:space="preserve"> present </w:t>
      </w:r>
      <w:r w:rsidR="000B0A1F" w:rsidRPr="00F506AC">
        <w:rPr>
          <w:lang w:val="en-US"/>
        </w:rPr>
        <w:t>in many</w:t>
      </w:r>
      <w:r>
        <w:rPr>
          <w:lang w:val="en-US"/>
        </w:rPr>
        <w:t xml:space="preserve"> ways</w:t>
      </w:r>
      <w:r w:rsidR="000B0A1F" w:rsidRPr="00F506AC">
        <w:rPr>
          <w:lang w:val="en-US"/>
        </w:rPr>
        <w:t xml:space="preserve">. </w:t>
      </w:r>
      <w:r w:rsidR="00F71170">
        <w:rPr>
          <w:lang w:val="en-US"/>
        </w:rPr>
        <w:t>We</w:t>
      </w:r>
      <w:r w:rsidR="00F71170" w:rsidRPr="00F506AC">
        <w:rPr>
          <w:lang w:val="en-US"/>
        </w:rPr>
        <w:t xml:space="preserve"> </w:t>
      </w:r>
      <w:r w:rsidR="00F71170">
        <w:rPr>
          <w:lang w:val="en-US"/>
        </w:rPr>
        <w:t xml:space="preserve">can </w:t>
      </w:r>
      <w:r w:rsidR="000B0A1F" w:rsidRPr="00F506AC">
        <w:rPr>
          <w:lang w:val="en-US"/>
        </w:rPr>
        <w:t xml:space="preserve">find DFIs present in the African mining sector as technical and financial partners in the </w:t>
      </w:r>
      <w:r w:rsidR="00F71170" w:rsidRPr="00F506AC">
        <w:rPr>
          <w:lang w:val="en-US"/>
        </w:rPr>
        <w:t xml:space="preserve">mining sectors </w:t>
      </w:r>
      <w:r w:rsidR="000B0A1F" w:rsidRPr="00F506AC">
        <w:rPr>
          <w:lang w:val="en-US"/>
        </w:rPr>
        <w:t xml:space="preserve">reform through programs initiated by the World Bank. Their interventions focus on effective governance of the extractive industries, strengthening transparency, improving </w:t>
      </w:r>
      <w:r w:rsidR="00F71170">
        <w:rPr>
          <w:lang w:val="en-US"/>
        </w:rPr>
        <w:t>national</w:t>
      </w:r>
      <w:r w:rsidR="00F71170" w:rsidRPr="00F506AC">
        <w:rPr>
          <w:lang w:val="en-US"/>
        </w:rPr>
        <w:t xml:space="preserve"> </w:t>
      </w:r>
      <w:r w:rsidR="000B0A1F" w:rsidRPr="00F506AC">
        <w:rPr>
          <w:lang w:val="en-US"/>
        </w:rPr>
        <w:t xml:space="preserve">resource </w:t>
      </w:r>
      <w:r w:rsidR="00F71170" w:rsidRPr="00F506AC">
        <w:rPr>
          <w:lang w:val="en-US"/>
        </w:rPr>
        <w:t>mobilization</w:t>
      </w:r>
      <w:r w:rsidR="000B0A1F" w:rsidRPr="00F506AC">
        <w:rPr>
          <w:lang w:val="en-US"/>
        </w:rPr>
        <w:t xml:space="preserve"> and promoting inclusive growth. The World Bank promotes the mining sector as a lever for the development of African countries and, to this end, supports institutional and legal reforms as well as governance policies. Since 1988, the World Bank has supported 41 mining sector reform projects in 24 countries, thus contributing to increased investment in the beneficiary countries. In the private sector, IFC's "Performance Standards for Environmental and Social Sustainability" (2012) remain among the most demanding in terms of impact consideration. They are mandatory for all projects directly financed by IFC and many projects have adopted them as a means of demonstrating excellence in addressing the social and environmental impacts of their projects. The World Bank has revised its Environmental and Social Standards, which apply to all projects financed from 2018 onwards, in order to provide a framework for loans granted to States.</w:t>
      </w:r>
    </w:p>
    <w:p w14:paraId="3C2C68C0" w14:textId="7EB15E77" w:rsidR="000B0A1F" w:rsidRPr="00F506AC" w:rsidRDefault="000B0A1F" w:rsidP="000B0A1F">
      <w:pPr>
        <w:spacing w:after="0"/>
        <w:rPr>
          <w:lang w:val="en-US"/>
        </w:rPr>
      </w:pPr>
      <w:r w:rsidRPr="00F506AC">
        <w:rPr>
          <w:lang w:val="en-US"/>
        </w:rPr>
        <w:t>As financial partners, International Development Financ</w:t>
      </w:r>
      <w:r w:rsidR="00686BF4">
        <w:rPr>
          <w:lang w:val="en-US"/>
        </w:rPr>
        <w:t>e</w:t>
      </w:r>
      <w:r w:rsidRPr="00F506AC">
        <w:rPr>
          <w:lang w:val="en-US"/>
        </w:rPr>
        <w:t xml:space="preserve"> Institutions (DFIs) invest in numerous mining projects. Their vocation is to support projects whose investment is evaluated at </w:t>
      </w:r>
      <w:r w:rsidRPr="00F506AC">
        <w:rPr>
          <w:rFonts w:hint="eastAsia"/>
          <w:lang w:val="en-US"/>
        </w:rPr>
        <w:t>"</w:t>
      </w:r>
      <w:r w:rsidRPr="00F506AC">
        <w:rPr>
          <w:lang w:val="en-US"/>
        </w:rPr>
        <w:t>risk</w:t>
      </w:r>
      <w:r w:rsidRPr="00F506AC">
        <w:rPr>
          <w:rFonts w:hint="eastAsia"/>
          <w:lang w:val="en-US"/>
        </w:rPr>
        <w:t>"</w:t>
      </w:r>
      <w:r w:rsidRPr="00F506AC">
        <w:rPr>
          <w:lang w:val="en-US"/>
        </w:rPr>
        <w:t xml:space="preserve">. They can also play a decisive role in driving all the reforms needed in the sector: better income distribution, mitigation of social and environmental impacts. The stated objective is to contribute </w:t>
      </w:r>
      <w:r w:rsidR="00E36D0D">
        <w:rPr>
          <w:lang w:val="en-US"/>
        </w:rPr>
        <w:t>in</w:t>
      </w:r>
      <w:r w:rsidR="00E36D0D" w:rsidRPr="00F506AC">
        <w:rPr>
          <w:lang w:val="en-US"/>
        </w:rPr>
        <w:t xml:space="preserve"> </w:t>
      </w:r>
      <w:r w:rsidRPr="00F506AC">
        <w:rPr>
          <w:lang w:val="en-US"/>
        </w:rPr>
        <w:t xml:space="preserve">boosting the sector and to guarantee investments with maximum benefits for the central and local governments. Several initiatives are presented in the study. For example, in 2019, Sierra Rutile joined forces with IFC </w:t>
      </w:r>
      <w:r w:rsidR="00E36D0D">
        <w:rPr>
          <w:lang w:val="en-US"/>
        </w:rPr>
        <w:t>for</w:t>
      </w:r>
      <w:r w:rsidR="00E36D0D" w:rsidRPr="00F506AC">
        <w:rPr>
          <w:lang w:val="en-US"/>
        </w:rPr>
        <w:t xml:space="preserve"> </w:t>
      </w:r>
      <w:r w:rsidRPr="00F506AC">
        <w:rPr>
          <w:lang w:val="en-US"/>
        </w:rPr>
        <w:t xml:space="preserve">a three-year 1.5 million </w:t>
      </w:r>
      <w:r w:rsidR="007512F7" w:rsidRPr="00F506AC">
        <w:rPr>
          <w:lang w:val="en-US"/>
        </w:rPr>
        <w:t>US$</w:t>
      </w:r>
      <w:r w:rsidR="007512F7">
        <w:rPr>
          <w:lang w:val="en-US"/>
        </w:rPr>
        <w:t xml:space="preserve"> </w:t>
      </w:r>
      <w:r w:rsidRPr="00F506AC">
        <w:rPr>
          <w:lang w:val="en-US"/>
        </w:rPr>
        <w:t xml:space="preserve">program </w:t>
      </w:r>
      <w:r w:rsidR="00E36D0D">
        <w:rPr>
          <w:lang w:val="en-US"/>
        </w:rPr>
        <w:t>intended to</w:t>
      </w:r>
      <w:r w:rsidR="00E36D0D" w:rsidRPr="00F506AC">
        <w:rPr>
          <w:lang w:val="en-US"/>
        </w:rPr>
        <w:t xml:space="preserve"> </w:t>
      </w:r>
      <w:r w:rsidRPr="00F506AC">
        <w:rPr>
          <w:lang w:val="en-US"/>
        </w:rPr>
        <w:t xml:space="preserve">benefit the communities </w:t>
      </w:r>
      <w:r w:rsidR="00605727" w:rsidRPr="00F506AC">
        <w:rPr>
          <w:lang w:val="en-US"/>
        </w:rPr>
        <w:t xml:space="preserve">in Sierra Leone </w:t>
      </w:r>
      <w:r w:rsidRPr="00F506AC">
        <w:rPr>
          <w:lang w:val="en-US"/>
        </w:rPr>
        <w:t xml:space="preserve">where the company operates. The objectives of the program include improving agricultural practices and household incomes, increasing purchases from local communities, improving the use of income streams generated by mining in the communities, improving </w:t>
      </w:r>
      <w:r w:rsidRPr="00F506AC">
        <w:rPr>
          <w:lang w:val="en-US"/>
        </w:rPr>
        <w:lastRenderedPageBreak/>
        <w:t>economic opportunities for women in the communities, and increasing the percentage of female employees in the project.</w:t>
      </w:r>
    </w:p>
    <w:p w14:paraId="0EBB578F" w14:textId="14C536C1" w:rsidR="000B0A1F" w:rsidRPr="00F506AC" w:rsidRDefault="000B0A1F" w:rsidP="000B0A1F">
      <w:pPr>
        <w:rPr>
          <w:lang w:val="en-US"/>
        </w:rPr>
      </w:pPr>
      <w:r w:rsidRPr="00F506AC">
        <w:rPr>
          <w:lang w:val="en-US"/>
        </w:rPr>
        <w:t xml:space="preserve">Indeed, innovative multi-stakeholder initiatives are multiplying, which aim to promote local development and content in the mining sector. They aim to strengthen the local economic fabric and create opportunities for SMEs in the mining and non-mining sectors. By way of illustration, in Guinea, we can cite the Guarantee Fund for SME/SMI </w:t>
      </w:r>
      <w:r w:rsidR="00605727">
        <w:rPr>
          <w:lang w:val="en-US"/>
        </w:rPr>
        <w:t>funding</w:t>
      </w:r>
      <w:r w:rsidR="00605727" w:rsidRPr="00F506AC">
        <w:rPr>
          <w:lang w:val="en-US"/>
        </w:rPr>
        <w:t xml:space="preserve"> </w:t>
      </w:r>
      <w:r w:rsidRPr="00F506AC">
        <w:rPr>
          <w:lang w:val="en-US"/>
        </w:rPr>
        <w:t xml:space="preserve">initiated by UNDP and UNICEF, in collaboration with the Chamber of Mines, or the Bourse de la Sous-Traitance et de Partenariat (BSTP) which links companies and national subcontractors. In Burkina Faso, the Alliance des Fournisseurs Burkinabè de Biens et Services Miniers (ABSM) consists of generating a pool of Burkinabe companies capable of meeting the needs of mining companies in compliance with international standards and norms. Another example is the West African regional program on increasing local supply </w:t>
      </w:r>
      <w:r w:rsidR="00605727">
        <w:rPr>
          <w:lang w:val="en-US"/>
        </w:rPr>
        <w:t>in</w:t>
      </w:r>
      <w:r w:rsidR="00605727" w:rsidRPr="00F506AC">
        <w:rPr>
          <w:lang w:val="en-US"/>
        </w:rPr>
        <w:t xml:space="preserve"> </w:t>
      </w:r>
      <w:r w:rsidRPr="00F506AC">
        <w:rPr>
          <w:lang w:val="en-US"/>
        </w:rPr>
        <w:t xml:space="preserve">the mining sector (ALMAO), funded by the Australian Department of Foreign Affairs and Trade and implemented by the World Bank. </w:t>
      </w:r>
    </w:p>
    <w:p w14:paraId="441AB934" w14:textId="59AB4EDA" w:rsidR="000B0A1F" w:rsidRPr="00F506AC" w:rsidRDefault="000B0A1F" w:rsidP="000B0A1F">
      <w:pPr>
        <w:rPr>
          <w:lang w:val="en-US"/>
        </w:rPr>
      </w:pPr>
      <w:r w:rsidRPr="00F506AC">
        <w:rPr>
          <w:lang w:val="en-US"/>
        </w:rPr>
        <w:t xml:space="preserve">In Burkina Faso, in 2017, UNICEF signed a tripartite Memorandum of Understanding with the General Directorate of Economy and Planning, </w:t>
      </w:r>
      <w:r w:rsidR="006D23A1">
        <w:rPr>
          <w:lang w:val="en-US"/>
        </w:rPr>
        <w:t>which depends on</w:t>
      </w:r>
      <w:r w:rsidR="006D23A1" w:rsidRPr="00F506AC">
        <w:rPr>
          <w:lang w:val="en-US"/>
        </w:rPr>
        <w:t xml:space="preserve"> </w:t>
      </w:r>
      <w:r w:rsidRPr="00F506AC">
        <w:rPr>
          <w:lang w:val="en-US"/>
        </w:rPr>
        <w:t xml:space="preserve">the Ministry of Economy, Finance and Development, and the CSR Forum (which brings together around 30 NGOs and mining companies in a platform for exchange). Six priority regions of intervention have been targeted in the country. The intervention consists, together with the other TFPs (World Bank, UNDP, Swiss and German Cooperation, etc.), in supporting local authorities to </w:t>
      </w:r>
      <w:r w:rsidR="006D23A1" w:rsidRPr="00F506AC">
        <w:rPr>
          <w:lang w:val="en-US"/>
        </w:rPr>
        <w:t>maximize</w:t>
      </w:r>
      <w:r w:rsidRPr="00F506AC">
        <w:rPr>
          <w:lang w:val="en-US"/>
        </w:rPr>
        <w:t xml:space="preserve"> the social impact of the Mining Fund for Local Development.</w:t>
      </w:r>
    </w:p>
    <w:p w14:paraId="503FD8D4" w14:textId="0FCA4B22" w:rsidR="000B0A1F" w:rsidRPr="00F506AC" w:rsidRDefault="000B0A1F" w:rsidP="000B0A1F">
      <w:pPr>
        <w:rPr>
          <w:lang w:val="en-US"/>
        </w:rPr>
      </w:pPr>
      <w:r w:rsidRPr="00F506AC">
        <w:rPr>
          <w:lang w:val="en-US"/>
        </w:rPr>
        <w:t xml:space="preserve">Bilateral cooperation also plays an important role in financing and providing technical and financial support for development projects in mining areas. They collaborate as much with States as with certain mining companies and executing agencies on structuring projects for local development. As an illustration, the </w:t>
      </w:r>
      <w:r w:rsidR="00686BF4" w:rsidRPr="00F506AC">
        <w:rPr>
          <w:lang w:val="en-US"/>
        </w:rPr>
        <w:t xml:space="preserve">WAGES </w:t>
      </w:r>
      <w:r w:rsidRPr="00F506AC">
        <w:rPr>
          <w:lang w:val="en-US"/>
        </w:rPr>
        <w:t>project (</w:t>
      </w:r>
      <w:r w:rsidR="00686BF4" w:rsidRPr="00F506AC">
        <w:rPr>
          <w:lang w:val="en-US"/>
        </w:rPr>
        <w:t xml:space="preserve">AGCEDE </w:t>
      </w:r>
      <w:r w:rsidRPr="00F506AC">
        <w:rPr>
          <w:lang w:val="en-US"/>
        </w:rPr>
        <w:t xml:space="preserve">in </w:t>
      </w:r>
      <w:r w:rsidR="00686BF4">
        <w:rPr>
          <w:lang w:val="en-US"/>
        </w:rPr>
        <w:t>French</w:t>
      </w:r>
      <w:r w:rsidRPr="00F506AC">
        <w:rPr>
          <w:lang w:val="en-US"/>
        </w:rPr>
        <w:t xml:space="preserve">) is taking place over the period 2016-2022 with a budget of 22,183,925 </w:t>
      </w:r>
      <w:r w:rsidR="007512F7" w:rsidRPr="00F506AC">
        <w:rPr>
          <w:lang w:val="en-US"/>
        </w:rPr>
        <w:t>USD$</w:t>
      </w:r>
      <w:r w:rsidR="007512F7">
        <w:rPr>
          <w:lang w:val="en-US"/>
        </w:rPr>
        <w:t xml:space="preserve"> </w:t>
      </w:r>
      <w:r w:rsidRPr="00F506AC">
        <w:rPr>
          <w:lang w:val="en-US"/>
        </w:rPr>
        <w:t xml:space="preserve">supported by World Affairs Canada. Three countries are targeted: Burkina Faso, Ghana and Guinea. "The project aims to break the vicious circle in which local communities, particularly women and youth, are excluded from the benefits of mining investments". Another example is the ECED Sahel project which is a partnership between the mining company IAMGOLD (Canadian shareholders), the Government of Canada and the Canadian One Drop Foundation. This project was implemented between 2015 and 2019 in Burkina Faso, in collaboration with the Burkinabe government. It targeted a population of more than 100,000 people to </w:t>
      </w:r>
      <w:r w:rsidRPr="00F506AC">
        <w:rPr>
          <w:rFonts w:cs="Arial"/>
          <w:bCs/>
          <w:szCs w:val="20"/>
          <w:lang w:val="en-US"/>
        </w:rPr>
        <w:t xml:space="preserve">meet a critical need for water in this arid and drought-prone region, a situation that severely limits the socio-economic development of the local population, particularly </w:t>
      </w:r>
      <w:r w:rsidR="00322151">
        <w:rPr>
          <w:rFonts w:cs="Arial"/>
          <w:bCs/>
          <w:szCs w:val="20"/>
          <w:lang w:val="en-US"/>
        </w:rPr>
        <w:t xml:space="preserve">for </w:t>
      </w:r>
      <w:r w:rsidRPr="00F506AC">
        <w:rPr>
          <w:rFonts w:cs="Arial"/>
          <w:bCs/>
          <w:szCs w:val="20"/>
          <w:lang w:val="en-US"/>
        </w:rPr>
        <w:t xml:space="preserve">women. Another project, developed in Mali: "Projet Adéquation formation-emploi dans la zone minière du </w:t>
      </w:r>
      <w:r w:rsidRPr="00F506AC">
        <w:rPr>
          <w:lang w:val="en-US"/>
        </w:rPr>
        <w:t xml:space="preserve">cercle de Kénièba (AFECK)" brings together World Affairs Canada, the gold producing company B2Gold (which is financing 25% of the project from its CSR funds) and the executing agency Cowater around a vocational training project designed to address </w:t>
      </w:r>
      <w:r w:rsidR="00322151">
        <w:rPr>
          <w:lang w:val="en-US"/>
        </w:rPr>
        <w:t>the</w:t>
      </w:r>
      <w:r w:rsidRPr="00F506AC">
        <w:rPr>
          <w:lang w:val="en-US"/>
        </w:rPr>
        <w:t xml:space="preserve"> lack of capacity of local populations to be involved in industrial mining activity, as employees or suppliers.</w:t>
      </w:r>
    </w:p>
    <w:p w14:paraId="3C6E2E28" w14:textId="5EB10654" w:rsidR="000B0A1F" w:rsidRPr="00F506AC" w:rsidRDefault="00322151" w:rsidP="000B0A1F">
      <w:pPr>
        <w:pStyle w:val="Heading2"/>
        <w:rPr>
          <w:lang w:val="en-US"/>
        </w:rPr>
      </w:pPr>
      <w:r>
        <w:rPr>
          <w:lang w:val="en-US"/>
        </w:rPr>
        <w:t>Funding</w:t>
      </w:r>
      <w:r w:rsidRPr="00F506AC">
        <w:rPr>
          <w:lang w:val="en-US"/>
        </w:rPr>
        <w:t xml:space="preserve"> </w:t>
      </w:r>
      <w:r w:rsidR="000B0A1F" w:rsidRPr="00F506AC">
        <w:rPr>
          <w:lang w:val="en-US"/>
        </w:rPr>
        <w:t>at the expense and initiative of the private sector</w:t>
      </w:r>
    </w:p>
    <w:p w14:paraId="69ED9902" w14:textId="167397E3" w:rsidR="000B0A1F" w:rsidRPr="00F506AC" w:rsidRDefault="000B0A1F" w:rsidP="000B0A1F">
      <w:pPr>
        <w:rPr>
          <w:lang w:val="en-US"/>
        </w:rPr>
      </w:pPr>
      <w:r w:rsidRPr="00F506AC">
        <w:rPr>
          <w:lang w:val="en-US"/>
        </w:rPr>
        <w:t xml:space="preserve">All mining legislations include standards for carrying out Environmental and Social Impact </w:t>
      </w:r>
      <w:r w:rsidR="00711C88">
        <w:rPr>
          <w:lang w:val="en-US"/>
        </w:rPr>
        <w:t>Assessment s</w:t>
      </w:r>
      <w:r w:rsidRPr="00F506AC">
        <w:rPr>
          <w:lang w:val="en-US"/>
        </w:rPr>
        <w:t xml:space="preserve">tudies (ESIAs), which are financed by the mining promoter and carried out by </w:t>
      </w:r>
      <w:r w:rsidR="00322151" w:rsidRPr="00F506AC">
        <w:rPr>
          <w:lang w:val="en-US"/>
        </w:rPr>
        <w:t>specialized</w:t>
      </w:r>
      <w:r w:rsidRPr="00F506AC">
        <w:rPr>
          <w:lang w:val="en-US"/>
        </w:rPr>
        <w:t xml:space="preserve"> </w:t>
      </w:r>
      <w:r w:rsidR="00711C88">
        <w:rPr>
          <w:lang w:val="en-US"/>
        </w:rPr>
        <w:t>consulting</w:t>
      </w:r>
      <w:r w:rsidRPr="00F506AC">
        <w:rPr>
          <w:lang w:val="en-US"/>
        </w:rPr>
        <w:t xml:space="preserve"> firms. This is the first tool designed to promote the integration of the mining project into its territory by </w:t>
      </w:r>
      <w:r w:rsidR="00322151" w:rsidRPr="00F506AC">
        <w:rPr>
          <w:lang w:val="en-US"/>
        </w:rPr>
        <w:t>minimizing</w:t>
      </w:r>
      <w:r w:rsidRPr="00F506AC">
        <w:rPr>
          <w:lang w:val="en-US"/>
        </w:rPr>
        <w:t xml:space="preserve"> its negative impacts and </w:t>
      </w:r>
      <w:r w:rsidR="00322151" w:rsidRPr="00F506AC">
        <w:rPr>
          <w:lang w:val="en-US"/>
        </w:rPr>
        <w:t>maximizing</w:t>
      </w:r>
      <w:r w:rsidRPr="00F506AC">
        <w:rPr>
          <w:lang w:val="en-US"/>
        </w:rPr>
        <w:t xml:space="preserve"> its positive spin-offs. These studies can be very costly and require a significant amount of time, which can sometimes become a </w:t>
      </w:r>
      <w:r w:rsidR="00322151" w:rsidRPr="00F506AC">
        <w:rPr>
          <w:lang w:val="en-US"/>
        </w:rPr>
        <w:t xml:space="preserve">slowing </w:t>
      </w:r>
      <w:r w:rsidRPr="00F506AC">
        <w:rPr>
          <w:lang w:val="en-US"/>
        </w:rPr>
        <w:t xml:space="preserve">factor in the mining project. However, it is important to stress the importance of ESIAs with regard to local development issues. ESIA is the first instrument that should enable the operator to identify, prevent, </w:t>
      </w:r>
      <w:r w:rsidR="00322151" w:rsidRPr="00F506AC">
        <w:rPr>
          <w:lang w:val="en-US"/>
        </w:rPr>
        <w:t>minimize</w:t>
      </w:r>
      <w:r w:rsidRPr="00F506AC">
        <w:rPr>
          <w:lang w:val="en-US"/>
        </w:rPr>
        <w:t xml:space="preserve"> and compensate for </w:t>
      </w:r>
      <w:r w:rsidR="00322151">
        <w:rPr>
          <w:lang w:val="en-US"/>
        </w:rPr>
        <w:t>his project</w:t>
      </w:r>
      <w:r w:rsidR="00322151" w:rsidRPr="00F506AC">
        <w:rPr>
          <w:lang w:val="en-US"/>
        </w:rPr>
        <w:t xml:space="preserve"> </w:t>
      </w:r>
      <w:r w:rsidRPr="00F506AC">
        <w:rPr>
          <w:lang w:val="en-US"/>
        </w:rPr>
        <w:t xml:space="preserve">impacts. It is accompanied by an Environmental and Social Management Plan (ESMP), or even a Livelihood Restoration Plan (LRP) and/or a Resettlement Action Plan (RAP) in the event of involuntary population displacement. </w:t>
      </w:r>
    </w:p>
    <w:p w14:paraId="5B13D1D1" w14:textId="3C0DE59A" w:rsidR="000B0A1F" w:rsidRPr="00F506AC" w:rsidRDefault="000B0A1F" w:rsidP="000B0A1F">
      <w:pPr>
        <w:rPr>
          <w:lang w:val="en-US"/>
        </w:rPr>
      </w:pPr>
      <w:r w:rsidRPr="00F506AC">
        <w:rPr>
          <w:lang w:val="en-US"/>
        </w:rPr>
        <w:t xml:space="preserve">The financing of these studies and plans, as well as the process of monitoring and control of their </w:t>
      </w:r>
      <w:r w:rsidR="00322151" w:rsidRPr="00F506AC">
        <w:rPr>
          <w:lang w:val="en-US"/>
        </w:rPr>
        <w:t>operationalization</w:t>
      </w:r>
      <w:r w:rsidRPr="00F506AC">
        <w:rPr>
          <w:lang w:val="en-US"/>
        </w:rPr>
        <w:t xml:space="preserve">, are essential to consider with regard to local development issues. Indeed, it is crucial that the project promoter not only has a sound ESIA and associated plans, but also that </w:t>
      </w:r>
      <w:r w:rsidR="00322151">
        <w:rPr>
          <w:lang w:val="en-US"/>
        </w:rPr>
        <w:t>he</w:t>
      </w:r>
      <w:r w:rsidR="00322151" w:rsidRPr="00F506AC">
        <w:rPr>
          <w:lang w:val="en-US"/>
        </w:rPr>
        <w:t xml:space="preserve"> </w:t>
      </w:r>
      <w:r w:rsidRPr="00F506AC">
        <w:rPr>
          <w:lang w:val="en-US"/>
        </w:rPr>
        <w:t xml:space="preserve">devotes </w:t>
      </w:r>
      <w:r w:rsidR="00322151" w:rsidRPr="00F506AC">
        <w:rPr>
          <w:lang w:val="en-US"/>
        </w:rPr>
        <w:t xml:space="preserve">necessary </w:t>
      </w:r>
      <w:r w:rsidRPr="00F506AC">
        <w:rPr>
          <w:lang w:val="en-US"/>
        </w:rPr>
        <w:t xml:space="preserve">financial and technical resources for their implementation throughout the various project cycles. It is through such plans that the promoter lays the foundations for </w:t>
      </w:r>
      <w:r w:rsidR="00322151">
        <w:rPr>
          <w:lang w:val="en-US"/>
        </w:rPr>
        <w:t>his</w:t>
      </w:r>
      <w:r w:rsidR="00322151" w:rsidRPr="00F506AC">
        <w:rPr>
          <w:lang w:val="en-US"/>
        </w:rPr>
        <w:t xml:space="preserve"> </w:t>
      </w:r>
      <w:r w:rsidRPr="00F506AC">
        <w:rPr>
          <w:lang w:val="en-US"/>
        </w:rPr>
        <w:t>"relationship</w:t>
      </w:r>
      <w:r w:rsidR="00322151">
        <w:rPr>
          <w:lang w:val="en-US"/>
        </w:rPr>
        <w:t>s</w:t>
      </w:r>
      <w:r w:rsidRPr="00F506AC">
        <w:rPr>
          <w:lang w:val="en-US"/>
        </w:rPr>
        <w:t xml:space="preserve">" with the area in which </w:t>
      </w:r>
      <w:r w:rsidR="00A70F83">
        <w:rPr>
          <w:lang w:val="en-US"/>
        </w:rPr>
        <w:t>they are</w:t>
      </w:r>
      <w:r w:rsidRPr="00F506AC">
        <w:rPr>
          <w:lang w:val="en-US"/>
        </w:rPr>
        <w:t xml:space="preserve"> located. </w:t>
      </w:r>
      <w:r w:rsidR="00A70F83">
        <w:rPr>
          <w:lang w:val="en-US"/>
        </w:rPr>
        <w:t>He</w:t>
      </w:r>
      <w:r w:rsidR="00A70F83" w:rsidRPr="00F506AC">
        <w:rPr>
          <w:lang w:val="en-US"/>
        </w:rPr>
        <w:t xml:space="preserve"> </w:t>
      </w:r>
      <w:r w:rsidRPr="00F506AC">
        <w:rPr>
          <w:lang w:val="en-US"/>
        </w:rPr>
        <w:t xml:space="preserve">can initiate local development </w:t>
      </w:r>
      <w:r w:rsidR="00A70F83" w:rsidRPr="00F506AC">
        <w:rPr>
          <w:lang w:val="en-US"/>
        </w:rPr>
        <w:t xml:space="preserve">support projects </w:t>
      </w:r>
      <w:r w:rsidRPr="00F506AC">
        <w:rPr>
          <w:lang w:val="en-US"/>
        </w:rPr>
        <w:t xml:space="preserve">through a solid strategy of impact compensation, hiring, procurement </w:t>
      </w:r>
      <w:r w:rsidR="00A70F83">
        <w:rPr>
          <w:lang w:val="en-US"/>
        </w:rPr>
        <w:t>in</w:t>
      </w:r>
      <w:r w:rsidR="00A70F83" w:rsidRPr="00F506AC">
        <w:rPr>
          <w:lang w:val="en-US"/>
        </w:rPr>
        <w:t xml:space="preserve"> </w:t>
      </w:r>
      <w:r w:rsidRPr="00F506AC">
        <w:rPr>
          <w:lang w:val="en-US"/>
        </w:rPr>
        <w:t xml:space="preserve">local goods and services, support for income-generating projects for impacted populations, etc. </w:t>
      </w:r>
    </w:p>
    <w:p w14:paraId="226534F1" w14:textId="0EED0761" w:rsidR="000B0A1F" w:rsidRPr="00F506AC" w:rsidRDefault="000B0A1F" w:rsidP="000B0A1F">
      <w:pPr>
        <w:rPr>
          <w:lang w:val="en-US"/>
        </w:rPr>
      </w:pPr>
      <w:r w:rsidRPr="00F506AC">
        <w:rPr>
          <w:lang w:val="en-US"/>
        </w:rPr>
        <w:lastRenderedPageBreak/>
        <w:t xml:space="preserve">Another local development funding mechanism is based on the CSR strategy of each company. Although it is based primarily on respect for the laws and policies of the host country, it is an approach based on voluntary initiatives. In this way, the company unblocks, at its own initiative, its own funds for the benefit of community development. By way of illustration, in 2016, in Guinea, voluntary payments by companies (i.e. from their own funds, in addition to taxes required by the state) corresponded to 53% of local mining revenues (investments), namely 2 740 740 US$ in cash and 687 830 US$ in donations in kind. The amounts of these funds can therefore be significant and have a significant impact on local community development. As part of a process of institutionalizing CSR, the Ghana Chamber of Mines has established a Local Development Fund, in which all its members working in the gold sector are required to contribute a minimum of </w:t>
      </w:r>
      <w:r w:rsidR="00CE7F1C" w:rsidRPr="00F506AC">
        <w:rPr>
          <w:lang w:val="en-US"/>
        </w:rPr>
        <w:t>1</w:t>
      </w:r>
      <w:r w:rsidR="00CE7F1C">
        <w:rPr>
          <w:lang w:val="en-US"/>
        </w:rPr>
        <w:t xml:space="preserve"> </w:t>
      </w:r>
      <w:r w:rsidRPr="00F506AC">
        <w:rPr>
          <w:lang w:val="en-US"/>
        </w:rPr>
        <w:t xml:space="preserve">US$ from each gain per ounce of gold and 1% of their net profit to develop the surrounding communities. </w:t>
      </w:r>
    </w:p>
    <w:p w14:paraId="1FACB840" w14:textId="6D5A533D" w:rsidR="000B0A1F" w:rsidRPr="00F506AC" w:rsidRDefault="000B0A1F" w:rsidP="000B0A1F">
      <w:pPr>
        <w:rPr>
          <w:lang w:val="en-US"/>
        </w:rPr>
      </w:pPr>
      <w:r w:rsidRPr="00F506AC">
        <w:rPr>
          <w:lang w:val="en-US"/>
        </w:rPr>
        <w:t xml:space="preserve">Within the framework of CSR, the company </w:t>
      </w:r>
      <w:r w:rsidR="00CE7F1C" w:rsidRPr="00F506AC">
        <w:rPr>
          <w:lang w:val="en-US"/>
        </w:rPr>
        <w:t>mobilizes</w:t>
      </w:r>
      <w:r w:rsidRPr="00F506AC">
        <w:rPr>
          <w:lang w:val="en-US"/>
        </w:rPr>
        <w:t xml:space="preserve"> "voluntary social payments", and as such the commitments differ greatly from one company to another in terms of the amounts invested, the projects that are financed and/or the way in which they are managed with stakeholders. While certain practices still </w:t>
      </w:r>
      <w:r w:rsidR="00CE7F1C" w:rsidRPr="00F506AC">
        <w:rPr>
          <w:lang w:val="en-US"/>
        </w:rPr>
        <w:t>favor</w:t>
      </w:r>
      <w:r w:rsidRPr="00F506AC">
        <w:rPr>
          <w:lang w:val="en-US"/>
        </w:rPr>
        <w:t xml:space="preserve"> a "philanthropic" approach designed to guarantee social peace, more and more promoters are considering the importance of making investments that genuinely contribute to a type of sustainable development in the area in which they operate. </w:t>
      </w:r>
    </w:p>
    <w:p w14:paraId="402539A7" w14:textId="77777777" w:rsidR="000B0A1F" w:rsidRPr="00F506AC" w:rsidRDefault="000B0A1F" w:rsidP="000B0A1F">
      <w:pPr>
        <w:rPr>
          <w:shd w:val="clear" w:color="auto" w:fill="FFFFFF"/>
          <w:lang w:val="en-US" w:eastAsia="fr-FR"/>
        </w:rPr>
      </w:pPr>
      <w:r w:rsidRPr="00F506AC">
        <w:rPr>
          <w:shd w:val="clear" w:color="auto" w:fill="FFFFFF"/>
          <w:lang w:val="en-US" w:eastAsia="fr-FR"/>
        </w:rPr>
        <w:t xml:space="preserve">Many mining companies guarantee the operation of their CSR funds through Foundations and Trust Funds, sometimes managed "in collaboration" with the communities impacted by the projects. The efficiency of the funds released for mining territories seems to depend heavily on the objectives assigned to the investments (social peace, diversification of the local economy, integration of the mining project into its territory, etc.), the consideration of local needs and the level of collaboration with local authorities. </w:t>
      </w:r>
    </w:p>
    <w:p w14:paraId="6F21A3AA" w14:textId="70F33D30" w:rsidR="000B0A1F" w:rsidRPr="00F506AC" w:rsidRDefault="000B0A1F" w:rsidP="000B0A1F">
      <w:pPr>
        <w:rPr>
          <w:lang w:val="en-US"/>
        </w:rPr>
      </w:pPr>
      <w:r w:rsidRPr="00F506AC">
        <w:rPr>
          <w:lang w:val="en-US"/>
        </w:rPr>
        <w:t xml:space="preserve">An innovative initiative is led by Endeavour Mining, a mining company that exploits gold in several countries in West Africa (Ivory Coast, Burkina Faso, Mali and Senegal). It has set up ECODEV, a company dedicated to CSR projects, which can act as an investor through an equity stake in a commercially oriented company and/or offer loans. A </w:t>
      </w:r>
      <w:r w:rsidR="007512F7" w:rsidRPr="00F506AC">
        <w:rPr>
          <w:lang w:val="en-US"/>
        </w:rPr>
        <w:t>third-party</w:t>
      </w:r>
      <w:r w:rsidRPr="00F506AC">
        <w:rPr>
          <w:lang w:val="en-US"/>
        </w:rPr>
        <w:t xml:space="preserve"> structure </w:t>
      </w:r>
      <w:r w:rsidR="007512F7" w:rsidRPr="00F506AC">
        <w:rPr>
          <w:lang w:val="en-US"/>
        </w:rPr>
        <w:t>specialized</w:t>
      </w:r>
      <w:r w:rsidRPr="00F506AC">
        <w:rPr>
          <w:lang w:val="en-US"/>
        </w:rPr>
        <w:t xml:space="preserve"> (Class M) in the implementation of local development projects is </w:t>
      </w:r>
      <w:r w:rsidR="007512F7" w:rsidRPr="00F506AC">
        <w:rPr>
          <w:lang w:val="en-US"/>
        </w:rPr>
        <w:t>mobilized</w:t>
      </w:r>
      <w:r w:rsidRPr="00F506AC">
        <w:rPr>
          <w:lang w:val="en-US"/>
        </w:rPr>
        <w:t xml:space="preserve"> to manage the funds, implement the projects by targeting potential partners, lead the teams on site and assess the socio-economic impacts of the investments made. The projects financed by this company must: 1- participate in diversifying the local economic fabric; 2- be located in the areas where the mines are located; 3- be economically profitable (the returns on investment being reinvested in ECODEV). </w:t>
      </w:r>
      <w:r w:rsidRPr="00F506AC">
        <w:rPr>
          <w:shd w:val="clear" w:color="auto" w:fill="FFFFFF"/>
          <w:lang w:val="en-US" w:eastAsia="fr-FR"/>
        </w:rPr>
        <w:t>Several other examples of private initiatives are presented in the framework of the study.</w:t>
      </w:r>
    </w:p>
    <w:p w14:paraId="7890B574" w14:textId="1D3F0FA8" w:rsidR="000B0A1F" w:rsidRPr="00F506AC" w:rsidRDefault="000B0A1F" w:rsidP="000B0A1F">
      <w:pPr>
        <w:rPr>
          <w:lang w:val="en-US"/>
        </w:rPr>
      </w:pPr>
      <w:r w:rsidRPr="00F506AC">
        <w:rPr>
          <w:lang w:val="en-US"/>
        </w:rPr>
        <w:t>At the national level, few countries have put in place public policies on CSR. Where they do exist (Guinea, 2017), they are not binding, or do not benefit from any specific incentive mechanism (e.g. financial) to encourage formal adherence by enterprises. In some countries, national CSR initiatives are the result of collaborative multi-stakeholder processes led by the private sector or even NGOs. The aim is to broaden the concept of CSR beyond the financial stakes to make it a lever for multi-actor collaboration and the promotion of "good practices". By way of illustration, Senegal has been involved in the Senegal CSR Initiative since 2008. This is an operational platform for exchang</w:t>
      </w:r>
      <w:r w:rsidR="00424B39">
        <w:rPr>
          <w:lang w:val="en-US"/>
        </w:rPr>
        <w:t>ing</w:t>
      </w:r>
      <w:r w:rsidRPr="00F506AC">
        <w:rPr>
          <w:lang w:val="en-US"/>
        </w:rPr>
        <w:t xml:space="preserve">, sharing and facilitating contacts between mining companies, a network of VSEs (Very Small Enterprises), and a group of institutional partners that includes development partners, employers' </w:t>
      </w:r>
      <w:r w:rsidR="00424B39" w:rsidRPr="00F506AC">
        <w:rPr>
          <w:lang w:val="en-US"/>
        </w:rPr>
        <w:t>organizations</w:t>
      </w:r>
      <w:r w:rsidRPr="00F506AC">
        <w:rPr>
          <w:lang w:val="en-US"/>
        </w:rPr>
        <w:t xml:space="preserve">, actors from the academic world and civil society. The Burkina Faso CSR Forum is a platform for sharing experiences between mining companies, NGOs and civil society. It is intended to open a space for dialogue </w:t>
      </w:r>
      <w:r w:rsidR="00424B39">
        <w:rPr>
          <w:lang w:val="en-US"/>
        </w:rPr>
        <w:t>and</w:t>
      </w:r>
      <w:r w:rsidR="00424B39" w:rsidRPr="00F506AC">
        <w:rPr>
          <w:lang w:val="en-US"/>
        </w:rPr>
        <w:t xml:space="preserve"> </w:t>
      </w:r>
      <w:r w:rsidRPr="00F506AC">
        <w:rPr>
          <w:lang w:val="en-US"/>
        </w:rPr>
        <w:t>communicate on the specific issues at stake in each mining territory and to anticipate conflicts and blocking factors. Parallel to this initiative, the Réseau Afrique Jeunesse with the technical and financial support of the Swedish NGO Diakonia (Sweden) is seeking to establish a CSR Label for mining companies in Burkina Faso. On a voluntary basis, mining companies can undergo an assessment and integrate the process.</w:t>
      </w:r>
      <w:r w:rsidR="00E86236">
        <w:rPr>
          <w:lang w:val="en-US"/>
        </w:rPr>
        <w:t xml:space="preserve"> </w:t>
      </w:r>
    </w:p>
    <w:p w14:paraId="628E175A" w14:textId="58F5FFE2" w:rsidR="000B0A1F" w:rsidRPr="008F3843" w:rsidRDefault="000B0A1F" w:rsidP="000B0A1F">
      <w:pPr>
        <w:pStyle w:val="Heading1"/>
        <w:rPr>
          <w:lang w:val="en-US"/>
        </w:rPr>
      </w:pPr>
      <w:r w:rsidRPr="008F3843">
        <w:rPr>
          <w:lang w:val="en-US"/>
        </w:rPr>
        <w:t>Chambe</w:t>
      </w:r>
      <w:r w:rsidR="008F3843" w:rsidRPr="008F3843">
        <w:rPr>
          <w:lang w:val="en-US"/>
        </w:rPr>
        <w:t>r</w:t>
      </w:r>
      <w:r w:rsidRPr="008F3843">
        <w:rPr>
          <w:lang w:val="en-US"/>
        </w:rPr>
        <w:t xml:space="preserve">s </w:t>
      </w:r>
      <w:r w:rsidR="008F3843">
        <w:rPr>
          <w:lang w:val="en-US"/>
        </w:rPr>
        <w:t>of</w:t>
      </w:r>
      <w:r w:rsidRPr="008F3843">
        <w:rPr>
          <w:lang w:val="en-US"/>
        </w:rPr>
        <w:t xml:space="preserve"> Mines and Community Development</w:t>
      </w:r>
    </w:p>
    <w:p w14:paraId="0022CD69" w14:textId="7E02CEA2" w:rsidR="000B0A1F" w:rsidRPr="00F506AC" w:rsidRDefault="000B0A1F" w:rsidP="000B0A1F">
      <w:pPr>
        <w:rPr>
          <w:lang w:val="en-US"/>
        </w:rPr>
      </w:pPr>
      <w:r w:rsidRPr="00F506AC">
        <w:rPr>
          <w:lang w:val="en-US"/>
        </w:rPr>
        <w:t xml:space="preserve">The Chambers of Mines are professional associations whose primary mandate is to represent and promote the interests of the private mining sector. However, their role can be much more extensive, as they are positioned at the crossroads of global and local issues, political, economic, social and environmental problems, in contact with different types of actors, on the local, national, sub-regional and international political scenes, etc. </w:t>
      </w:r>
      <w:r w:rsidR="00E56164">
        <w:rPr>
          <w:lang w:val="en-US"/>
        </w:rPr>
        <w:t xml:space="preserve"> </w:t>
      </w:r>
    </w:p>
    <w:p w14:paraId="522EF655" w14:textId="3D63B21F" w:rsidR="000B0A1F" w:rsidRPr="00F506AC" w:rsidRDefault="000B0A1F" w:rsidP="000B0A1F">
      <w:pPr>
        <w:rPr>
          <w:lang w:val="en-US"/>
        </w:rPr>
      </w:pPr>
      <w:r w:rsidRPr="00F506AC">
        <w:rPr>
          <w:lang w:val="en-US"/>
        </w:rPr>
        <w:lastRenderedPageBreak/>
        <w:t xml:space="preserve">One of the major challenges for the Chambers of Mines is therefore to position itself as a pro-active player, not in terms of a development actor, but rather as a first-rate </w:t>
      </w:r>
      <w:r w:rsidR="001C3F40" w:rsidRPr="00F506AC">
        <w:rPr>
          <w:lang w:val="en-US"/>
        </w:rPr>
        <w:t xml:space="preserve">initiative </w:t>
      </w:r>
      <w:r w:rsidRPr="00F506AC">
        <w:rPr>
          <w:lang w:val="en-US"/>
        </w:rPr>
        <w:t xml:space="preserve">partner that could participate in </w:t>
      </w:r>
      <w:r w:rsidR="001C3F40">
        <w:rPr>
          <w:lang w:val="en-US"/>
        </w:rPr>
        <w:t xml:space="preserve">the </w:t>
      </w:r>
      <w:r w:rsidRPr="00F506AC">
        <w:rPr>
          <w:lang w:val="en-US"/>
        </w:rPr>
        <w:t xml:space="preserve">innovation </w:t>
      </w:r>
      <w:r w:rsidR="001C3F40">
        <w:rPr>
          <w:lang w:val="en-US"/>
        </w:rPr>
        <w:t>of</w:t>
      </w:r>
      <w:r w:rsidRPr="00F506AC">
        <w:rPr>
          <w:lang w:val="en-US"/>
        </w:rPr>
        <w:t xml:space="preserve"> integrating </w:t>
      </w:r>
      <w:r w:rsidR="001C3F40" w:rsidRPr="00F506AC">
        <w:rPr>
          <w:lang w:val="en-US"/>
        </w:rPr>
        <w:t xml:space="preserve">challenges </w:t>
      </w:r>
      <w:r w:rsidR="001C3F40">
        <w:rPr>
          <w:lang w:val="en-US"/>
        </w:rPr>
        <w:t xml:space="preserve">of </w:t>
      </w:r>
      <w:r w:rsidRPr="00F506AC">
        <w:rPr>
          <w:lang w:val="en-US"/>
        </w:rPr>
        <w:t xml:space="preserve">mining projects into their territory. With regard to the content of this study, which deals with local development </w:t>
      </w:r>
      <w:r w:rsidR="006A6ED2">
        <w:rPr>
          <w:lang w:val="en-US"/>
        </w:rPr>
        <w:t>funding</w:t>
      </w:r>
      <w:r w:rsidR="006A6ED2" w:rsidRPr="00F506AC">
        <w:rPr>
          <w:lang w:val="en-US"/>
        </w:rPr>
        <w:t xml:space="preserve"> </w:t>
      </w:r>
      <w:r w:rsidRPr="00F506AC">
        <w:rPr>
          <w:lang w:val="en-US"/>
        </w:rPr>
        <w:t>mechanisms, it is clear that the Chambers of Mines have every interest, and the capacity to participat</w:t>
      </w:r>
      <w:r w:rsidR="001C3F40">
        <w:rPr>
          <w:lang w:val="en-US"/>
        </w:rPr>
        <w:t>e</w:t>
      </w:r>
      <w:r w:rsidRPr="00F506AC">
        <w:rPr>
          <w:lang w:val="en-US"/>
        </w:rPr>
        <w:t xml:space="preserve"> in mechanisms that set short, medium and long-term objectives, </w:t>
      </w:r>
      <w:r w:rsidR="0021487E" w:rsidRPr="00F506AC">
        <w:rPr>
          <w:lang w:val="en-US"/>
        </w:rPr>
        <w:t>favoring</w:t>
      </w:r>
      <w:r w:rsidRPr="00F506AC">
        <w:rPr>
          <w:lang w:val="en-US"/>
        </w:rPr>
        <w:t xml:space="preserve"> new levels of scale (regional, sub-regional) by associating stakeholders from different horizons. Indeed, stakeholders such as international NGOs, TFPs and other donors will be all the more interested in collaborating on innovative projects for the development of mining areas if the stated objectives are in line with the desire to include mining projects in a more global development strategy. To avoid </w:t>
      </w:r>
      <w:r w:rsidR="00BF2EE7">
        <w:rPr>
          <w:lang w:val="en-US"/>
        </w:rPr>
        <w:t>being</w:t>
      </w:r>
      <w:r w:rsidRPr="00F506AC">
        <w:rPr>
          <w:lang w:val="en-US"/>
        </w:rPr>
        <w:t xml:space="preserve"> the sole interlocutor and actor in local economic development, mining companies, through the Chambers of Mines, have a role to play in fostering innovation in the field of community development and its financing modalities. </w:t>
      </w:r>
    </w:p>
    <w:p w14:paraId="6EACF5C4" w14:textId="451A8881" w:rsidR="000B0A1F" w:rsidRPr="00F506AC" w:rsidRDefault="000B0A1F" w:rsidP="000B0A1F">
      <w:pPr>
        <w:rPr>
          <w:lang w:val="en-US"/>
        </w:rPr>
      </w:pPr>
      <w:r w:rsidRPr="00F506AC">
        <w:rPr>
          <w:lang w:val="en-US"/>
        </w:rPr>
        <w:t xml:space="preserve">The African Chambers of Mines have set up superstructures at continental and sub-regional levels to increase their collaboration and strengthen their representation in decision-making bodies. Thus, the Association of Chambers of Mines and other Mining Associations in Africa (ACMMAA) was recently founded in 2017 under the aegis of the African Union. The Mining Industry Association of Southern Africa (MIASA) was founded in 1998. It brings together the Chambers of Mines of Botswana, DR Congo, Namibia, Malawi, Madagascar, Minerals Council of South Africa, Tanzania, Zambia, Zimbabwe and Lesotho. The Federation of Community Chambers of Mines of ECOWAS or EFEDCOM was created in 2016. The member countries are Ghana, Guinea, Nigeria, Burkina Faso, Côte d'Ivoire, Togo and Mali. Senegal is expected to join the Federation shortly. Contacts are also underway with the Sierra Leone Chamber of Mines. The Women in Mining of West Africa </w:t>
      </w:r>
      <w:r w:rsidR="004F6329">
        <w:rPr>
          <w:lang w:val="en-US"/>
        </w:rPr>
        <w:t xml:space="preserve">Association </w:t>
      </w:r>
      <w:r w:rsidRPr="00F506AC">
        <w:rPr>
          <w:lang w:val="en-US"/>
        </w:rPr>
        <w:t xml:space="preserve">(WIMOWA) is also a member of EFEDCOM. </w:t>
      </w:r>
    </w:p>
    <w:p w14:paraId="7C5D5517" w14:textId="412EE042" w:rsidR="000B0A1F" w:rsidRPr="00F506AC" w:rsidRDefault="000B0A1F" w:rsidP="000B0A1F">
      <w:pPr>
        <w:rPr>
          <w:lang w:val="en-US"/>
        </w:rPr>
      </w:pPr>
      <w:r w:rsidRPr="00F506AC">
        <w:rPr>
          <w:lang w:val="en-US"/>
        </w:rPr>
        <w:t xml:space="preserve">All seven countries under review have a Chamber of Mines. Mali's Chamber of Mines, created in 2004, is the only one that is placed under the supervision of the State, which is what makes it special. A recent revision of its status was made possible by an ordinance </w:t>
      </w:r>
      <w:r w:rsidR="00A272FD">
        <w:rPr>
          <w:lang w:val="en-US"/>
        </w:rPr>
        <w:t>in</w:t>
      </w:r>
      <w:r w:rsidR="00A272FD" w:rsidRPr="00F506AC">
        <w:rPr>
          <w:lang w:val="en-US"/>
        </w:rPr>
        <w:t xml:space="preserve"> </w:t>
      </w:r>
      <w:r w:rsidRPr="00F506AC">
        <w:rPr>
          <w:lang w:val="en-US"/>
        </w:rPr>
        <w:t xml:space="preserve">2018 </w:t>
      </w:r>
      <w:r w:rsidR="00A272FD">
        <w:rPr>
          <w:lang w:val="en-US"/>
        </w:rPr>
        <w:t>establishing</w:t>
      </w:r>
      <w:r w:rsidR="00A272FD" w:rsidRPr="00F506AC">
        <w:rPr>
          <w:lang w:val="en-US"/>
        </w:rPr>
        <w:t xml:space="preserve"> </w:t>
      </w:r>
      <w:r w:rsidRPr="00F506AC">
        <w:rPr>
          <w:lang w:val="en-US"/>
        </w:rPr>
        <w:t xml:space="preserve">the </w:t>
      </w:r>
      <w:r w:rsidR="008F3843" w:rsidRPr="00F506AC">
        <w:rPr>
          <w:lang w:val="en-US"/>
        </w:rPr>
        <w:t xml:space="preserve">Mali's Chamber of Mines </w:t>
      </w:r>
      <w:r w:rsidRPr="00F506AC">
        <w:rPr>
          <w:lang w:val="en-US"/>
        </w:rPr>
        <w:t xml:space="preserve">as </w:t>
      </w:r>
      <w:r w:rsidRPr="00F506AC">
        <w:rPr>
          <w:rFonts w:eastAsia="MS Mincho"/>
          <w:szCs w:val="24"/>
          <w:lang w:val="en-US" w:eastAsia="ja-JP"/>
        </w:rPr>
        <w:t xml:space="preserve">a public </w:t>
      </w:r>
      <w:r w:rsidR="00A272FD">
        <w:rPr>
          <w:rFonts w:eastAsia="MS Mincho"/>
          <w:szCs w:val="24"/>
          <w:lang w:val="en-US" w:eastAsia="ja-JP"/>
        </w:rPr>
        <w:t>institution</w:t>
      </w:r>
      <w:r w:rsidR="00A272FD" w:rsidRPr="00F506AC">
        <w:rPr>
          <w:rFonts w:eastAsia="MS Mincho"/>
          <w:szCs w:val="24"/>
          <w:lang w:val="en-US" w:eastAsia="ja-JP"/>
        </w:rPr>
        <w:t xml:space="preserve"> </w:t>
      </w:r>
      <w:r w:rsidR="00A272FD">
        <w:rPr>
          <w:rFonts w:eastAsia="MS Mincho"/>
          <w:szCs w:val="24"/>
          <w:lang w:val="en-US" w:eastAsia="ja-JP"/>
        </w:rPr>
        <w:t>serving</w:t>
      </w:r>
      <w:r w:rsidRPr="00F506AC">
        <w:rPr>
          <w:rFonts w:eastAsia="MS Mincho"/>
          <w:szCs w:val="24"/>
          <w:lang w:val="en-US" w:eastAsia="ja-JP"/>
        </w:rPr>
        <w:t xml:space="preserve"> professional </w:t>
      </w:r>
      <w:r w:rsidR="00A272FD">
        <w:rPr>
          <w:rFonts w:eastAsia="MS Mincho"/>
          <w:szCs w:val="24"/>
          <w:lang w:val="en-US" w:eastAsia="ja-JP"/>
        </w:rPr>
        <w:t>purposes</w:t>
      </w:r>
      <w:r w:rsidR="00A272FD" w:rsidRPr="00F506AC">
        <w:rPr>
          <w:rFonts w:eastAsia="MS Mincho"/>
          <w:szCs w:val="24"/>
          <w:lang w:val="en-US" w:eastAsia="ja-JP"/>
        </w:rPr>
        <w:t xml:space="preserve"> </w:t>
      </w:r>
      <w:r w:rsidR="00A272FD">
        <w:rPr>
          <w:rFonts w:eastAsia="MS Mincho"/>
          <w:szCs w:val="24"/>
          <w:lang w:val="en-US" w:eastAsia="ja-JP"/>
        </w:rPr>
        <w:t xml:space="preserve">and </w:t>
      </w:r>
      <w:r w:rsidR="00A272FD" w:rsidRPr="00A272FD">
        <w:rPr>
          <w:rFonts w:eastAsia="MS Mincho"/>
          <w:szCs w:val="24"/>
          <w:lang w:val="en-US" w:eastAsia="ja-JP"/>
        </w:rPr>
        <w:t>endowed with a moral status and financial independence</w:t>
      </w:r>
      <w:r w:rsidRPr="00F506AC">
        <w:rPr>
          <w:rFonts w:eastAsia="MS Mincho"/>
          <w:szCs w:val="24"/>
          <w:lang w:val="en-US" w:eastAsia="ja-JP"/>
        </w:rPr>
        <w:t xml:space="preserve">. It is placed under the supervision of the Minister in charge of Mines. </w:t>
      </w:r>
      <w:r w:rsidRPr="00F506AC">
        <w:rPr>
          <w:lang w:val="en-US"/>
        </w:rPr>
        <w:t xml:space="preserve">The six other Chambers of Mines in the countries under review are employer </w:t>
      </w:r>
      <w:r w:rsidR="00A272FD" w:rsidRPr="00F506AC">
        <w:rPr>
          <w:lang w:val="en-US"/>
        </w:rPr>
        <w:t>organizations</w:t>
      </w:r>
      <w:r w:rsidRPr="00F506AC">
        <w:rPr>
          <w:lang w:val="en-US"/>
        </w:rPr>
        <w:t xml:space="preserve"> </w:t>
      </w:r>
      <w:r w:rsidR="00A272FD" w:rsidRPr="00F506AC">
        <w:rPr>
          <w:lang w:val="en-US"/>
        </w:rPr>
        <w:t>organized</w:t>
      </w:r>
      <w:r w:rsidRPr="00F506AC">
        <w:rPr>
          <w:lang w:val="en-US"/>
        </w:rPr>
        <w:t xml:space="preserve"> as non-profit associations. This study documents the different actions, projects, collaborations initiated and/or involving the Chambers of Mines of the countries under study. </w:t>
      </w:r>
    </w:p>
    <w:p w14:paraId="23963AFC" w14:textId="5EEDFF29" w:rsidR="000B0A1F" w:rsidRPr="00F506AC" w:rsidRDefault="000B0A1F" w:rsidP="000B0A1F">
      <w:pPr>
        <w:spacing w:after="0"/>
        <w:rPr>
          <w:lang w:val="en-US"/>
        </w:rPr>
      </w:pPr>
      <w:r w:rsidRPr="00F506AC">
        <w:rPr>
          <w:lang w:val="en-US"/>
        </w:rPr>
        <w:t>The available data (still very patchy) show that the Chambers of Mines in the countries under study have significant potential for innovation in Community funding</w:t>
      </w:r>
      <w:r w:rsidR="006A6DED" w:rsidRPr="006A6DED">
        <w:rPr>
          <w:lang w:val="en-US"/>
        </w:rPr>
        <w:t xml:space="preserve"> </w:t>
      </w:r>
      <w:r w:rsidR="006A6DED" w:rsidRPr="00F506AC">
        <w:rPr>
          <w:lang w:val="en-US"/>
        </w:rPr>
        <w:t>modalities</w:t>
      </w:r>
      <w:r w:rsidRPr="00F506AC">
        <w:rPr>
          <w:lang w:val="en-US"/>
        </w:rPr>
        <w:t xml:space="preserve">. They are increasingly led to collaborate with technical and financial partners on projects designed to </w:t>
      </w:r>
      <w:r w:rsidR="006A6DED" w:rsidRPr="00F506AC">
        <w:rPr>
          <w:lang w:val="en-US"/>
        </w:rPr>
        <w:t>maximize</w:t>
      </w:r>
      <w:r w:rsidRPr="00F506AC">
        <w:rPr>
          <w:lang w:val="en-US"/>
        </w:rPr>
        <w:t xml:space="preserve"> the mining investments </w:t>
      </w:r>
      <w:r w:rsidR="006A6DED" w:rsidRPr="00F506AC">
        <w:rPr>
          <w:lang w:val="en-US"/>
        </w:rPr>
        <w:t>impact</w:t>
      </w:r>
      <w:r w:rsidR="006A6DED">
        <w:rPr>
          <w:lang w:val="en-US"/>
        </w:rPr>
        <w:t>s</w:t>
      </w:r>
      <w:r w:rsidR="006A6DED" w:rsidRPr="00F506AC">
        <w:rPr>
          <w:lang w:val="en-US"/>
        </w:rPr>
        <w:t xml:space="preserve"> </w:t>
      </w:r>
      <w:r w:rsidRPr="00F506AC">
        <w:rPr>
          <w:lang w:val="en-US"/>
        </w:rPr>
        <w:t xml:space="preserve">at the territorial level, whether it be the Mining Development Funds managed by the States or the CSR funds of various mining projects. They are also involved in this type of collaboration with several Ministries around projects with a social vocation (health, education, training, etc.). The Guinean Chamber of Mines, through its Health Committee, is developing a partnership with its member companies, several Ministries and international institutions, particularly in the fight against HIV/AIDS in mining areas.  </w:t>
      </w:r>
    </w:p>
    <w:p w14:paraId="1B08EEE3" w14:textId="7B113A05" w:rsidR="0093025F" w:rsidRPr="00F506AC" w:rsidRDefault="000B0A1F" w:rsidP="000B0A1F">
      <w:pPr>
        <w:spacing w:after="0"/>
        <w:rPr>
          <w:lang w:val="en-US"/>
        </w:rPr>
      </w:pPr>
      <w:r w:rsidRPr="00F506AC">
        <w:rPr>
          <w:lang w:val="en-US"/>
        </w:rPr>
        <w:t xml:space="preserve">Another vocation of the Chambers of Mines is to compile local development data, which are attributable to the presence of projects in certain territories. For example, the Ghana Chamber of Mines keeps a register of all roads built and rehabilitated by mining companies (company, date, length, beneficiary communities, etc.). With UNCDF funding, the Guinean Chamber of Mines initiated in 2020 an interactive mapping project of community projects developed by different mining projects throughout the country. The South African Chamber of Mines has opened regional offices to intervene in mining areas around projects that focus on sharing best practices and a multi-stakeholder community development strategy, beyond legislative compliance requirements. 12 teams have been set up, each </w:t>
      </w:r>
      <w:r w:rsidR="00A1629A" w:rsidRPr="00F506AC">
        <w:rPr>
          <w:lang w:val="en-US"/>
        </w:rPr>
        <w:t>specializing</w:t>
      </w:r>
      <w:r w:rsidRPr="00F506AC">
        <w:rPr>
          <w:lang w:val="en-US"/>
        </w:rPr>
        <w:t xml:space="preserve"> in a particular area of intervention. Such an initiative can be found in Mali with the installation of "focal points", or delegations, in 10 mining regions to promote the establishment of consultati</w:t>
      </w:r>
      <w:r w:rsidR="00A1629A">
        <w:rPr>
          <w:lang w:val="en-US"/>
        </w:rPr>
        <w:t>on</w:t>
      </w:r>
      <w:r w:rsidRPr="00F506AC">
        <w:rPr>
          <w:lang w:val="en-US"/>
        </w:rPr>
        <w:t xml:space="preserve"> and training</w:t>
      </w:r>
      <w:r w:rsidR="00A1629A" w:rsidRPr="00A1629A">
        <w:rPr>
          <w:lang w:val="en-US"/>
        </w:rPr>
        <w:t xml:space="preserve"> </w:t>
      </w:r>
      <w:r w:rsidR="00A1629A" w:rsidRPr="00F506AC">
        <w:rPr>
          <w:lang w:val="en-US"/>
        </w:rPr>
        <w:t>frameworks</w:t>
      </w:r>
      <w:r w:rsidRPr="00F506AC">
        <w:rPr>
          <w:lang w:val="en-US"/>
        </w:rPr>
        <w:t>. In Burkina Faso, since February 2019, a consultati</w:t>
      </w:r>
      <w:r w:rsidR="00A1629A">
        <w:rPr>
          <w:lang w:val="en-US"/>
        </w:rPr>
        <w:t>on</w:t>
      </w:r>
      <w:r w:rsidRPr="00F506AC">
        <w:rPr>
          <w:lang w:val="en-US"/>
        </w:rPr>
        <w:t xml:space="preserve"> framework between the Chamber of Mines and the mayors of the mining communes has been launched. Most Chambers of Mines are also involved in the implementation of the EITI initiative in member countries. </w:t>
      </w:r>
    </w:p>
    <w:p w14:paraId="40C13CC7" w14:textId="77777777" w:rsidR="0093025F" w:rsidRDefault="0093025F" w:rsidP="00C00F68">
      <w:pPr>
        <w:pStyle w:val="Heading1"/>
        <w:ind w:left="431" w:hanging="431"/>
      </w:pPr>
      <w:r>
        <w:t>Recommendations</w:t>
      </w:r>
    </w:p>
    <w:p w14:paraId="12B17273" w14:textId="75ADB7C1" w:rsidR="0093025F" w:rsidRPr="007E79F6" w:rsidRDefault="00C00F68" w:rsidP="000B0A1F">
      <w:pPr>
        <w:spacing w:after="0"/>
        <w:rPr>
          <w:lang w:val="en-US"/>
        </w:rPr>
      </w:pPr>
      <w:r w:rsidRPr="00F506AC">
        <w:rPr>
          <w:lang w:val="en-US"/>
        </w:rPr>
        <w:t>The study makes a series of recommendations concerning local development</w:t>
      </w:r>
      <w:r w:rsidR="0071262D" w:rsidRPr="0071262D">
        <w:rPr>
          <w:lang w:val="en-US"/>
        </w:rPr>
        <w:t xml:space="preserve"> </w:t>
      </w:r>
      <w:r w:rsidR="0071262D" w:rsidRPr="00F506AC">
        <w:rPr>
          <w:lang w:val="en-US"/>
        </w:rPr>
        <w:t>support</w:t>
      </w:r>
      <w:r w:rsidRPr="00F506AC">
        <w:rPr>
          <w:lang w:val="en-US"/>
        </w:rPr>
        <w:t xml:space="preserve">, its </w:t>
      </w:r>
      <w:r w:rsidR="006A6ED2">
        <w:rPr>
          <w:lang w:val="en-US"/>
        </w:rPr>
        <w:t>funding</w:t>
      </w:r>
      <w:r w:rsidR="006A6ED2" w:rsidRPr="00F506AC">
        <w:rPr>
          <w:lang w:val="en-US"/>
        </w:rPr>
        <w:t xml:space="preserve"> </w:t>
      </w:r>
      <w:r w:rsidRPr="00F506AC">
        <w:rPr>
          <w:lang w:val="en-US"/>
        </w:rPr>
        <w:t xml:space="preserve">methods and the promotion of local content. </w:t>
      </w:r>
      <w:r w:rsidRPr="007E79F6">
        <w:rPr>
          <w:lang w:val="en-US"/>
        </w:rPr>
        <w:t>The main ones are summari</w:t>
      </w:r>
      <w:r w:rsidR="0071262D">
        <w:rPr>
          <w:lang w:val="en-US"/>
        </w:rPr>
        <w:t>z</w:t>
      </w:r>
      <w:r w:rsidRPr="007E79F6">
        <w:rPr>
          <w:lang w:val="en-US"/>
        </w:rPr>
        <w:t xml:space="preserve">ed below: </w:t>
      </w:r>
    </w:p>
    <w:p w14:paraId="268D5A84" w14:textId="6000EA00" w:rsidR="0093025F" w:rsidRPr="00F506AC" w:rsidRDefault="001473B4" w:rsidP="006949E2">
      <w:pPr>
        <w:pStyle w:val="PuceNiveau1"/>
        <w:rPr>
          <w:lang w:val="en-US"/>
        </w:rPr>
      </w:pPr>
      <w:r w:rsidRPr="00F506AC">
        <w:rPr>
          <w:lang w:val="en-US"/>
        </w:rPr>
        <w:lastRenderedPageBreak/>
        <w:t xml:space="preserve">The implementation of Local Development Mining </w:t>
      </w:r>
      <w:r w:rsidR="0071262D">
        <w:rPr>
          <w:lang w:val="en-US"/>
        </w:rPr>
        <w:t>f</w:t>
      </w:r>
      <w:r w:rsidRPr="00F506AC">
        <w:rPr>
          <w:lang w:val="en-US"/>
        </w:rPr>
        <w:t xml:space="preserve">unds in several countries requires multi-stakeholder support processes </w:t>
      </w:r>
      <w:r w:rsidR="0071262D">
        <w:rPr>
          <w:lang w:val="en-US"/>
        </w:rPr>
        <w:t>to strengthen</w:t>
      </w:r>
      <w:r w:rsidRPr="00F506AC">
        <w:rPr>
          <w:lang w:val="en-US"/>
        </w:rPr>
        <w:t xml:space="preserve"> local capacities for management, development planning and the establishment of accountability and transparency mechanisms; </w:t>
      </w:r>
    </w:p>
    <w:p w14:paraId="17D63899" w14:textId="2BEBFD91" w:rsidR="001473B4" w:rsidRPr="00F506AC" w:rsidRDefault="00DE3819" w:rsidP="006949E2">
      <w:pPr>
        <w:pStyle w:val="PuceNiveau1"/>
        <w:rPr>
          <w:lang w:val="en-US"/>
        </w:rPr>
      </w:pPr>
      <w:r w:rsidRPr="00F506AC">
        <w:rPr>
          <w:lang w:val="en-US"/>
        </w:rPr>
        <w:t>Community development</w:t>
      </w:r>
      <w:r w:rsidR="001473B4" w:rsidRPr="00F506AC">
        <w:rPr>
          <w:lang w:val="en-US"/>
        </w:rPr>
        <w:t xml:space="preserve"> funding initiatives </w:t>
      </w:r>
      <w:r w:rsidRPr="00F506AC">
        <w:rPr>
          <w:lang w:val="en-US"/>
        </w:rPr>
        <w:t xml:space="preserve">require a strong </w:t>
      </w:r>
      <w:r w:rsidR="001473B4" w:rsidRPr="00F506AC">
        <w:rPr>
          <w:lang w:val="en-US"/>
        </w:rPr>
        <w:t xml:space="preserve">mobilization of local actors in order to promote integrated </w:t>
      </w:r>
      <w:r w:rsidR="001C1FCA" w:rsidRPr="00F506AC">
        <w:rPr>
          <w:lang w:val="en-US"/>
        </w:rPr>
        <w:t xml:space="preserve">and planned </w:t>
      </w:r>
      <w:r w:rsidR="001473B4" w:rsidRPr="00F506AC">
        <w:rPr>
          <w:lang w:val="en-US"/>
        </w:rPr>
        <w:t xml:space="preserve">development </w:t>
      </w:r>
      <w:r w:rsidR="00D44279">
        <w:rPr>
          <w:lang w:val="en-US"/>
        </w:rPr>
        <w:t xml:space="preserve">solutions </w:t>
      </w:r>
      <w:r w:rsidR="001473B4" w:rsidRPr="00F506AC">
        <w:rPr>
          <w:lang w:val="en-US"/>
        </w:rPr>
        <w:t xml:space="preserve">that correspond to the </w:t>
      </w:r>
      <w:r w:rsidR="002943EA" w:rsidRPr="00F506AC">
        <w:rPr>
          <w:lang w:val="en-US"/>
        </w:rPr>
        <w:t xml:space="preserve">short, medium and long term </w:t>
      </w:r>
      <w:r w:rsidR="001473B4" w:rsidRPr="00F506AC">
        <w:rPr>
          <w:lang w:val="en-US"/>
        </w:rPr>
        <w:t xml:space="preserve">needs of </w:t>
      </w:r>
      <w:r w:rsidR="002943EA" w:rsidRPr="00F506AC">
        <w:rPr>
          <w:lang w:val="en-US"/>
        </w:rPr>
        <w:t xml:space="preserve">the </w:t>
      </w:r>
      <w:r w:rsidR="001473B4" w:rsidRPr="00F506AC">
        <w:rPr>
          <w:lang w:val="en-US"/>
        </w:rPr>
        <w:t xml:space="preserve">territories (e.g. taking into account local development plans); </w:t>
      </w:r>
    </w:p>
    <w:p w14:paraId="1045F35E" w14:textId="50E7D281" w:rsidR="001C1FCA" w:rsidRPr="00F506AC" w:rsidRDefault="001C1FCA" w:rsidP="006949E2">
      <w:pPr>
        <w:pStyle w:val="PuceNiveau1"/>
        <w:rPr>
          <w:lang w:val="en-US"/>
        </w:rPr>
      </w:pPr>
      <w:r w:rsidRPr="00F506AC">
        <w:rPr>
          <w:lang w:val="en-US"/>
        </w:rPr>
        <w:t xml:space="preserve">Projects </w:t>
      </w:r>
      <w:r w:rsidR="00D44279">
        <w:rPr>
          <w:lang w:val="en-US"/>
        </w:rPr>
        <w:t>oriented towards</w:t>
      </w:r>
      <w:r w:rsidRPr="00F506AC">
        <w:rPr>
          <w:lang w:val="en-US"/>
        </w:rPr>
        <w:t xml:space="preserve"> economic diversification </w:t>
      </w:r>
      <w:r w:rsidR="00D44279">
        <w:rPr>
          <w:lang w:val="en-US"/>
        </w:rPr>
        <w:t>in</w:t>
      </w:r>
      <w:r w:rsidRPr="00F506AC">
        <w:rPr>
          <w:lang w:val="en-US"/>
        </w:rPr>
        <w:t xml:space="preserve"> mining areas</w:t>
      </w:r>
      <w:r w:rsidR="00D44279">
        <w:rPr>
          <w:lang w:val="en-US"/>
        </w:rPr>
        <w:t xml:space="preserve"> and </w:t>
      </w:r>
      <w:r w:rsidRPr="00F506AC">
        <w:rPr>
          <w:lang w:val="en-US"/>
        </w:rPr>
        <w:t xml:space="preserve">the </w:t>
      </w:r>
      <w:r w:rsidR="00DE3819" w:rsidRPr="00F506AC">
        <w:rPr>
          <w:lang w:val="en-US"/>
        </w:rPr>
        <w:t xml:space="preserve">creation of income-generating activities for SMEs and groups (including women's groups) are central to </w:t>
      </w:r>
      <w:r w:rsidR="00D44279">
        <w:rPr>
          <w:lang w:val="en-US"/>
        </w:rPr>
        <w:t>limit</w:t>
      </w:r>
      <w:r w:rsidR="00DE3819" w:rsidRPr="00F506AC">
        <w:rPr>
          <w:lang w:val="en-US"/>
        </w:rPr>
        <w:t xml:space="preserve"> the dependence of local economies </w:t>
      </w:r>
      <w:r w:rsidR="00D44279">
        <w:rPr>
          <w:lang w:val="en-US"/>
        </w:rPr>
        <w:t>on</w:t>
      </w:r>
      <w:r w:rsidR="00DE3819" w:rsidRPr="00F506AC">
        <w:rPr>
          <w:lang w:val="en-US"/>
        </w:rPr>
        <w:t xml:space="preserve"> extractive projects and guarantee their sustainability; </w:t>
      </w:r>
    </w:p>
    <w:p w14:paraId="66960FF3" w14:textId="248168BB" w:rsidR="002943EA" w:rsidRPr="00F506AC" w:rsidRDefault="002943EA" w:rsidP="006949E2">
      <w:pPr>
        <w:pStyle w:val="PuceNiveau1"/>
        <w:rPr>
          <w:lang w:val="en-US"/>
        </w:rPr>
      </w:pPr>
      <w:r w:rsidRPr="00F506AC">
        <w:rPr>
          <w:lang w:val="en-US"/>
        </w:rPr>
        <w:t xml:space="preserve">Local development </w:t>
      </w:r>
      <w:r w:rsidR="00093EE4">
        <w:rPr>
          <w:lang w:val="en-US"/>
        </w:rPr>
        <w:t>funding</w:t>
      </w:r>
      <w:r w:rsidRPr="00F506AC">
        <w:rPr>
          <w:lang w:val="en-US"/>
        </w:rPr>
        <w:t xml:space="preserve"> projects that </w:t>
      </w:r>
      <w:r w:rsidR="00824272" w:rsidRPr="00F506AC">
        <w:rPr>
          <w:lang w:val="en-US"/>
        </w:rPr>
        <w:t>mobilize</w:t>
      </w:r>
      <w:r w:rsidRPr="00F506AC">
        <w:rPr>
          <w:lang w:val="en-US"/>
        </w:rPr>
        <w:t xml:space="preserve"> several actors (public, private, </w:t>
      </w:r>
      <w:r w:rsidR="001C1FCA" w:rsidRPr="00F506AC">
        <w:rPr>
          <w:lang w:val="en-US"/>
        </w:rPr>
        <w:t xml:space="preserve">structures </w:t>
      </w:r>
      <w:r w:rsidR="00824272" w:rsidRPr="00F506AC">
        <w:rPr>
          <w:lang w:val="en-US"/>
        </w:rPr>
        <w:t>specialized</w:t>
      </w:r>
      <w:r w:rsidR="001C1FCA" w:rsidRPr="00F506AC">
        <w:rPr>
          <w:lang w:val="en-US"/>
        </w:rPr>
        <w:t xml:space="preserve"> in the implementation of projects) are multiplying and have strong potential for positive impact</w:t>
      </w:r>
      <w:r w:rsidR="00093EE4">
        <w:rPr>
          <w:lang w:val="en-US"/>
        </w:rPr>
        <w:t>s</w:t>
      </w:r>
      <w:r w:rsidR="001C1FCA" w:rsidRPr="00F506AC">
        <w:rPr>
          <w:lang w:val="en-US"/>
        </w:rPr>
        <w:t xml:space="preserve"> </w:t>
      </w:r>
      <w:r w:rsidR="00093EE4">
        <w:rPr>
          <w:lang w:val="en-US"/>
        </w:rPr>
        <w:t>in</w:t>
      </w:r>
      <w:r w:rsidR="001C1FCA" w:rsidRPr="00F506AC">
        <w:rPr>
          <w:lang w:val="en-US"/>
        </w:rPr>
        <w:t xml:space="preserve"> mining area</w:t>
      </w:r>
      <w:r w:rsidR="00093EE4">
        <w:rPr>
          <w:lang w:val="en-US"/>
        </w:rPr>
        <w:t>s</w:t>
      </w:r>
      <w:r w:rsidR="001C1FCA" w:rsidRPr="00F506AC">
        <w:rPr>
          <w:lang w:val="en-US"/>
        </w:rPr>
        <w:t xml:space="preserve">; </w:t>
      </w:r>
    </w:p>
    <w:p w14:paraId="25EEBCF6" w14:textId="573306FF" w:rsidR="001C1FCA" w:rsidRPr="00F506AC" w:rsidRDefault="006949E2" w:rsidP="006949E2">
      <w:pPr>
        <w:pStyle w:val="PuceNiveau1"/>
        <w:rPr>
          <w:lang w:val="en-US"/>
        </w:rPr>
      </w:pPr>
      <w:r w:rsidRPr="00F506AC">
        <w:rPr>
          <w:lang w:val="en-US"/>
        </w:rPr>
        <w:t xml:space="preserve">The promotion of local content is a long-term process that requires the commitment of many types of actors (private, public, technical and financial partners) in order to set up projects based on capacity building (training, support to SMEs), and </w:t>
      </w:r>
      <w:r w:rsidR="00093EE4">
        <w:rPr>
          <w:lang w:val="en-US"/>
        </w:rPr>
        <w:t>to link</w:t>
      </w:r>
      <w:r w:rsidRPr="00F506AC">
        <w:rPr>
          <w:lang w:val="en-US"/>
        </w:rPr>
        <w:t xml:space="preserve"> operators and local economic actors</w:t>
      </w:r>
      <w:r w:rsidR="007E32DD" w:rsidRPr="00F506AC">
        <w:rPr>
          <w:lang w:val="en-US"/>
        </w:rPr>
        <w:t>;</w:t>
      </w:r>
    </w:p>
    <w:p w14:paraId="2D9804C9" w14:textId="7A01DCB9" w:rsidR="00205A52" w:rsidRPr="00F506AC" w:rsidRDefault="006949E2" w:rsidP="00205A52">
      <w:pPr>
        <w:pStyle w:val="PuceNiveau1"/>
        <w:rPr>
          <w:lang w:val="en-US"/>
        </w:rPr>
      </w:pPr>
      <w:r w:rsidRPr="00F506AC">
        <w:rPr>
          <w:lang w:val="en-US"/>
        </w:rPr>
        <w:t xml:space="preserve">The Chambers of Mines have a strong potential to </w:t>
      </w:r>
      <w:r w:rsidR="00824272" w:rsidRPr="00F506AC">
        <w:rPr>
          <w:lang w:val="en-US"/>
        </w:rPr>
        <w:t>mobilize</w:t>
      </w:r>
      <w:r w:rsidRPr="00F506AC">
        <w:rPr>
          <w:lang w:val="en-US"/>
        </w:rPr>
        <w:t xml:space="preserve"> various categories of actors, in a collaborative </w:t>
      </w:r>
      <w:r w:rsidR="00093EE4">
        <w:rPr>
          <w:lang w:val="en-US"/>
        </w:rPr>
        <w:t>based approach</w:t>
      </w:r>
      <w:r w:rsidRPr="00F506AC">
        <w:rPr>
          <w:lang w:val="en-US"/>
        </w:rPr>
        <w:t xml:space="preserve">, around the issues of local development and the promotion of local content. </w:t>
      </w:r>
      <w:r w:rsidR="00205A52" w:rsidRPr="00F506AC">
        <w:rPr>
          <w:lang w:val="en-US"/>
        </w:rPr>
        <w:t xml:space="preserve">One of the major challenges for the Chambers of Mines is therefore to position itself as a pro-active actor, not in terms of a development actor, </w:t>
      </w:r>
      <w:r w:rsidR="00093EE4" w:rsidRPr="00093EE4">
        <w:rPr>
          <w:lang w:val="en-US"/>
        </w:rPr>
        <w:t>but rather as a first-rate initiative partner that could participate in the innovation of integrating challenges of mining projects into their territory</w:t>
      </w:r>
      <w:r w:rsidR="00205A52" w:rsidRPr="00F506AC">
        <w:rPr>
          <w:lang w:val="en-US"/>
        </w:rPr>
        <w:t xml:space="preserve">. Exchanges of experience between Chambers of Mines could help to strengthen skills and initiate new projects at both national and regional levels. </w:t>
      </w:r>
    </w:p>
    <w:p w14:paraId="69E0AF00" w14:textId="77777777" w:rsidR="000B0A1F" w:rsidRPr="00F506AC" w:rsidRDefault="000B0A1F" w:rsidP="000B0A1F">
      <w:pPr>
        <w:pStyle w:val="Heading1"/>
        <w:rPr>
          <w:lang w:val="en-US"/>
        </w:rPr>
      </w:pPr>
      <w:bookmarkStart w:id="31" w:name="_Toc58859132"/>
      <w:r w:rsidRPr="00F506AC">
        <w:rPr>
          <w:lang w:val="en-US"/>
        </w:rPr>
        <w:t xml:space="preserve">Terms of Reference of the sub-regional workshop </w:t>
      </w:r>
      <w:bookmarkEnd w:id="31"/>
    </w:p>
    <w:p w14:paraId="6BA67EF8" w14:textId="073310E6" w:rsidR="000B0A1F" w:rsidRPr="00F506AC" w:rsidRDefault="000B0A1F" w:rsidP="000B0A1F">
      <w:pPr>
        <w:rPr>
          <w:lang w:val="en-US"/>
        </w:rPr>
      </w:pPr>
      <w:r w:rsidRPr="00F506AC">
        <w:rPr>
          <w:lang w:val="en-US"/>
        </w:rPr>
        <w:t xml:space="preserve">This study, which covers 7 countries, focuses on community development issues, innovative </w:t>
      </w:r>
      <w:r w:rsidR="006A6ED2">
        <w:rPr>
          <w:lang w:val="en-US"/>
        </w:rPr>
        <w:t>funding</w:t>
      </w:r>
      <w:r w:rsidR="006A6ED2" w:rsidRPr="00F506AC">
        <w:rPr>
          <w:lang w:val="en-US"/>
        </w:rPr>
        <w:t xml:space="preserve"> </w:t>
      </w:r>
      <w:r w:rsidRPr="00F506AC">
        <w:rPr>
          <w:lang w:val="en-US"/>
        </w:rPr>
        <w:t xml:space="preserve">mechanisms and local content issues. It was designed to serve as a </w:t>
      </w:r>
      <w:r w:rsidR="00824272" w:rsidRPr="00F506AC">
        <w:rPr>
          <w:lang w:val="en-US"/>
        </w:rPr>
        <w:t xml:space="preserve">reflection </w:t>
      </w:r>
      <w:r w:rsidRPr="00F506AC">
        <w:rPr>
          <w:lang w:val="en-US"/>
        </w:rPr>
        <w:t xml:space="preserve">framework with a view to feed the preparation and </w:t>
      </w:r>
      <w:r w:rsidR="00824272" w:rsidRPr="00F506AC">
        <w:rPr>
          <w:lang w:val="en-US"/>
        </w:rPr>
        <w:t>organization</w:t>
      </w:r>
      <w:r w:rsidRPr="00F506AC">
        <w:rPr>
          <w:lang w:val="en-US"/>
        </w:rPr>
        <w:t xml:space="preserve"> of a sub-regional workshop to be held in 2021 under the aegis of the Federation of ECOWAS Chambers of Mines (EFEDCOM). </w:t>
      </w:r>
    </w:p>
    <w:p w14:paraId="6D61E67A" w14:textId="77777777" w:rsidR="000B0A1F" w:rsidRPr="00F506AC" w:rsidRDefault="000B0A1F" w:rsidP="000B0A1F">
      <w:pPr>
        <w:rPr>
          <w:lang w:val="en-US"/>
        </w:rPr>
      </w:pPr>
      <w:r w:rsidRPr="00F506AC">
        <w:rPr>
          <w:lang w:val="en-US"/>
        </w:rPr>
        <w:t xml:space="preserve">The participants in this workshop who have been targeted are as follows: </w:t>
      </w:r>
    </w:p>
    <w:p w14:paraId="5FD3D639" w14:textId="77777777" w:rsidR="000B0A1F" w:rsidRPr="00F506AC" w:rsidRDefault="000B0A1F" w:rsidP="000B0A1F">
      <w:pPr>
        <w:pStyle w:val="PuceNiveau1"/>
        <w:spacing w:before="60" w:after="60"/>
        <w:rPr>
          <w:lang w:val="en-US"/>
        </w:rPr>
      </w:pPr>
      <w:r w:rsidRPr="00F506AC">
        <w:rPr>
          <w:lang w:val="en-US"/>
        </w:rPr>
        <w:t>The Executive Directors of the Chambers of Mines of EFEDCOM and mining associations including a delegation from the Association of Chambers of Mines and Other Mining Associations in Africa (ACMMAA), and WIMOA (Women in Mining West-Africa);</w:t>
      </w:r>
    </w:p>
    <w:p w14:paraId="5CCE24F1" w14:textId="4D1BEE11" w:rsidR="000B0A1F" w:rsidRPr="00F506AC" w:rsidRDefault="000B0A1F" w:rsidP="000B0A1F">
      <w:pPr>
        <w:pStyle w:val="PuceNiveau1"/>
        <w:spacing w:before="60" w:after="60"/>
        <w:rPr>
          <w:lang w:val="en-US"/>
        </w:rPr>
      </w:pPr>
      <w:r w:rsidRPr="00F506AC">
        <w:rPr>
          <w:lang w:val="en-US"/>
        </w:rPr>
        <w:t xml:space="preserve">Representatives </w:t>
      </w:r>
      <w:r w:rsidR="00824272" w:rsidRPr="00F506AC">
        <w:rPr>
          <w:lang w:val="en-US"/>
        </w:rPr>
        <w:t>specialized</w:t>
      </w:r>
      <w:r w:rsidRPr="00F506AC">
        <w:rPr>
          <w:lang w:val="en-US"/>
        </w:rPr>
        <w:t xml:space="preserve"> in mining issues from the African Union (AU), WAEMU and ECOWAS;</w:t>
      </w:r>
    </w:p>
    <w:p w14:paraId="6B6C2264" w14:textId="77777777" w:rsidR="000B0A1F" w:rsidRPr="00451931" w:rsidRDefault="000B0A1F" w:rsidP="000B0A1F">
      <w:pPr>
        <w:pStyle w:val="PuceNiveau1"/>
        <w:spacing w:before="60" w:after="60"/>
        <w:rPr>
          <w:color w:val="000000" w:themeColor="text1"/>
          <w:lang w:val="en-US"/>
        </w:rPr>
      </w:pPr>
      <w:r w:rsidRPr="00451931">
        <w:rPr>
          <w:color w:val="000000" w:themeColor="text1"/>
          <w:lang w:val="en-US"/>
        </w:rPr>
        <w:t>Representatives of the ECOWAS Commission (notably the Commissioner for Mines and Energy) ;</w:t>
      </w:r>
    </w:p>
    <w:p w14:paraId="2E70454C" w14:textId="77777777" w:rsidR="000B0A1F" w:rsidRPr="00451931" w:rsidRDefault="000B0A1F" w:rsidP="000B0A1F">
      <w:pPr>
        <w:pStyle w:val="PuceNiveau1"/>
        <w:spacing w:before="60" w:after="60"/>
        <w:rPr>
          <w:color w:val="000000" w:themeColor="text1"/>
          <w:lang w:val="en-US"/>
        </w:rPr>
      </w:pPr>
      <w:r w:rsidRPr="00451931">
        <w:rPr>
          <w:color w:val="000000" w:themeColor="text1"/>
          <w:lang w:val="en-US"/>
        </w:rPr>
        <w:t xml:space="preserve">The partners of the Guinean Chamber of Mines (UNCDF representations in several countries, IFC, ...) ; </w:t>
      </w:r>
    </w:p>
    <w:p w14:paraId="241F4EE6" w14:textId="488B4478" w:rsidR="000B0A1F" w:rsidRPr="00A167DE" w:rsidRDefault="000B0A1F" w:rsidP="000B0A1F">
      <w:pPr>
        <w:pStyle w:val="PuceNiveau1"/>
        <w:spacing w:before="60" w:after="60"/>
        <w:rPr>
          <w:color w:val="000000" w:themeColor="text1"/>
        </w:rPr>
      </w:pPr>
      <w:r w:rsidRPr="00A167DE">
        <w:rPr>
          <w:color w:val="000000" w:themeColor="text1"/>
        </w:rPr>
        <w:t>Other (</w:t>
      </w:r>
      <w:r w:rsidR="008F3843">
        <w:rPr>
          <w:color w:val="000000" w:themeColor="text1"/>
        </w:rPr>
        <w:t>to</w:t>
      </w:r>
      <w:r w:rsidRPr="00A167DE">
        <w:rPr>
          <w:color w:val="000000" w:themeColor="text1"/>
        </w:rPr>
        <w:t xml:space="preserve"> specify). </w:t>
      </w:r>
    </w:p>
    <w:p w14:paraId="6022A2AC" w14:textId="77777777" w:rsidR="000B0A1F" w:rsidRPr="00451931" w:rsidRDefault="000B0A1F" w:rsidP="000B0A1F">
      <w:pPr>
        <w:rPr>
          <w:color w:val="000000" w:themeColor="text1"/>
          <w:lang w:val="en-US"/>
        </w:rPr>
      </w:pPr>
      <w:r w:rsidRPr="00451931">
        <w:rPr>
          <w:color w:val="000000" w:themeColor="text1"/>
          <w:lang w:val="en-US"/>
        </w:rPr>
        <w:t xml:space="preserve">The sub-regional workshop has two main objectives which are to enable : </w:t>
      </w:r>
    </w:p>
    <w:p w14:paraId="2BC78783" w14:textId="77777777" w:rsidR="000B0A1F" w:rsidRPr="00451931" w:rsidRDefault="000B0A1F" w:rsidP="000B0A1F">
      <w:pPr>
        <w:pStyle w:val="ListParagraph"/>
        <w:numPr>
          <w:ilvl w:val="0"/>
          <w:numId w:val="14"/>
        </w:numPr>
        <w:spacing w:after="0"/>
        <w:rPr>
          <w:color w:val="000000" w:themeColor="text1"/>
          <w:lang w:val="en-US" w:eastAsia="ja-JP"/>
        </w:rPr>
      </w:pPr>
      <w:r w:rsidRPr="00451931">
        <w:rPr>
          <w:color w:val="000000" w:themeColor="text1"/>
          <w:lang w:val="en-US" w:eastAsia="ja-JP"/>
        </w:rPr>
        <w:t xml:space="preserve">The sharing of experiences between the different member countries of EFEDCOM, or even other mining countries ; </w:t>
      </w:r>
    </w:p>
    <w:p w14:paraId="20A67D11" w14:textId="77777777" w:rsidR="000B0A1F" w:rsidRPr="00451931" w:rsidRDefault="000B0A1F" w:rsidP="000B0A1F">
      <w:pPr>
        <w:pStyle w:val="ListParagraph"/>
        <w:numPr>
          <w:ilvl w:val="0"/>
          <w:numId w:val="14"/>
        </w:numPr>
        <w:spacing w:after="0"/>
        <w:rPr>
          <w:color w:val="000000" w:themeColor="text1"/>
          <w:lang w:val="en-US" w:eastAsia="ja-JP"/>
        </w:rPr>
      </w:pPr>
      <w:r w:rsidRPr="00451931">
        <w:rPr>
          <w:color w:val="000000" w:themeColor="text1"/>
          <w:lang w:val="en-US" w:eastAsia="ja-JP"/>
        </w:rPr>
        <w:t xml:space="preserve">The identification of strategies to promote best practices for local content and community development. </w:t>
      </w:r>
    </w:p>
    <w:p w14:paraId="2E18ABCD" w14:textId="4388E9F4" w:rsidR="000B0A1F" w:rsidRPr="00451931" w:rsidRDefault="000B0A1F" w:rsidP="000B0A1F">
      <w:pPr>
        <w:rPr>
          <w:color w:val="000000" w:themeColor="text1"/>
          <w:lang w:val="en-US"/>
        </w:rPr>
      </w:pPr>
      <w:r w:rsidRPr="00451931">
        <w:rPr>
          <w:color w:val="000000" w:themeColor="text1"/>
          <w:lang w:val="en-US"/>
        </w:rPr>
        <w:t xml:space="preserve">The issue of local content and community development in mining areas is a major concern shared by EFEDCOM members and more broadly by the UEMOA, ECOWAS and mining member states. The Chambers of Mines are bodies that have a strong potential for impetus, </w:t>
      </w:r>
      <w:r w:rsidR="00824272" w:rsidRPr="00451931">
        <w:rPr>
          <w:color w:val="000000" w:themeColor="text1"/>
          <w:lang w:val="en-US"/>
        </w:rPr>
        <w:t>mobilization</w:t>
      </w:r>
      <w:r w:rsidRPr="00451931">
        <w:rPr>
          <w:color w:val="000000" w:themeColor="text1"/>
          <w:lang w:val="en-US"/>
        </w:rPr>
        <w:t xml:space="preserve"> and coordination of the various actors around the promotion of good practices in terms of local content and community development in mining areas. </w:t>
      </w:r>
    </w:p>
    <w:p w14:paraId="03839AEA" w14:textId="7683FF11" w:rsidR="000B0A1F" w:rsidRPr="00451931" w:rsidRDefault="000B0A1F" w:rsidP="000B0A1F">
      <w:pPr>
        <w:rPr>
          <w:lang w:val="en-US"/>
        </w:rPr>
      </w:pPr>
      <w:r w:rsidRPr="00451931">
        <w:rPr>
          <w:lang w:val="en-US"/>
        </w:rPr>
        <w:t xml:space="preserve">This sub-regional workshop </w:t>
      </w:r>
      <w:r w:rsidR="00824272" w:rsidRPr="00451931">
        <w:rPr>
          <w:lang w:val="en-US"/>
        </w:rPr>
        <w:t>organized</w:t>
      </w:r>
      <w:r w:rsidRPr="00451931">
        <w:rPr>
          <w:lang w:val="en-US"/>
        </w:rPr>
        <w:t xml:space="preserve"> under the auspices of EFEDCOM is mainly aimed at: </w:t>
      </w:r>
    </w:p>
    <w:p w14:paraId="6ADAA267" w14:textId="007AED79" w:rsidR="000B0A1F" w:rsidRPr="00451931" w:rsidRDefault="000B0A1F" w:rsidP="000B0A1F">
      <w:pPr>
        <w:pStyle w:val="PuceNiveau1"/>
        <w:spacing w:before="60" w:after="60"/>
        <w:rPr>
          <w:lang w:val="en-US"/>
        </w:rPr>
      </w:pPr>
      <w:r w:rsidRPr="00451931">
        <w:rPr>
          <w:lang w:val="en-US"/>
        </w:rPr>
        <w:lastRenderedPageBreak/>
        <w:t xml:space="preserve">The production of recommendations on the selected themes related to local content and community development financing issues in the mining sector. These recommendations will be addressed both to the Chambers of Mines members of EFEDCOM (first), to regional bodies, and to </w:t>
      </w:r>
      <w:r w:rsidR="00824272" w:rsidRPr="00451931">
        <w:rPr>
          <w:lang w:val="en-US"/>
        </w:rPr>
        <w:t>specialized</w:t>
      </w:r>
      <w:r w:rsidRPr="00451931">
        <w:rPr>
          <w:lang w:val="en-US"/>
        </w:rPr>
        <w:t xml:space="preserve"> national institutions (Ministries of Mines, Territorial Administration and </w:t>
      </w:r>
      <w:r w:rsidR="00824272" w:rsidRPr="00451931">
        <w:rPr>
          <w:lang w:val="en-US"/>
        </w:rPr>
        <w:t>Decentralization</w:t>
      </w:r>
      <w:r w:rsidRPr="00451931">
        <w:rPr>
          <w:lang w:val="en-US"/>
        </w:rPr>
        <w:t>, Ministries of the Environment);</w:t>
      </w:r>
    </w:p>
    <w:p w14:paraId="60952760" w14:textId="7BED9B32" w:rsidR="000B0A1F" w:rsidRPr="00451931" w:rsidRDefault="000B0A1F" w:rsidP="000B0A1F">
      <w:pPr>
        <w:pStyle w:val="PuceNiveau1"/>
        <w:spacing w:before="60" w:after="60"/>
        <w:rPr>
          <w:lang w:val="en-US"/>
        </w:rPr>
      </w:pPr>
      <w:r w:rsidRPr="00451931">
        <w:rPr>
          <w:lang w:val="en-US"/>
        </w:rPr>
        <w:t xml:space="preserve">The development of a three-year (rolling) action plan for the </w:t>
      </w:r>
      <w:r w:rsidR="00824272" w:rsidRPr="00451931">
        <w:rPr>
          <w:lang w:val="en-US"/>
        </w:rPr>
        <w:t>organizations</w:t>
      </w:r>
      <w:r w:rsidRPr="00451931">
        <w:rPr>
          <w:lang w:val="en-US"/>
        </w:rPr>
        <w:t xml:space="preserve"> participating in the workshop to facilitate the implementation of the recommendations at both regional and national levels. This action plan will be updated and evaluated in </w:t>
      </w:r>
      <w:r w:rsidR="00824272" w:rsidRPr="00451931">
        <w:rPr>
          <w:lang w:val="en-US"/>
        </w:rPr>
        <w:t>favor</w:t>
      </w:r>
      <w:r w:rsidRPr="00451931">
        <w:rPr>
          <w:lang w:val="en-US"/>
        </w:rPr>
        <w:t xml:space="preserve"> of the regular meetings of EFEDCOM. </w:t>
      </w:r>
    </w:p>
    <w:p w14:paraId="551485AF" w14:textId="57CD2CFC" w:rsidR="000B0A1F" w:rsidRPr="00451931" w:rsidRDefault="000B0A1F" w:rsidP="000B0A1F">
      <w:pPr>
        <w:rPr>
          <w:lang w:val="en-US"/>
        </w:rPr>
      </w:pPr>
      <w:r w:rsidRPr="00451931">
        <w:rPr>
          <w:lang w:val="en-US"/>
        </w:rPr>
        <w:t>To this end, three working sessions are planned, which will focus on: 1- The economic dimensions of local content and community development; 2- The social aspects of local content and community development; 3- F</w:t>
      </w:r>
      <w:r w:rsidR="006A6ED2">
        <w:rPr>
          <w:lang w:val="en-US"/>
        </w:rPr>
        <w:t>unding</w:t>
      </w:r>
      <w:r w:rsidRPr="00451931">
        <w:rPr>
          <w:lang w:val="en-US"/>
        </w:rPr>
        <w:t xml:space="preserve"> mechanisms for community development. The details of the content of the sessions will be developed in the framework of the study.</w:t>
      </w:r>
    </w:p>
    <w:sectPr w:rsidR="000B0A1F" w:rsidRPr="00451931" w:rsidSect="00CC5140">
      <w:headerReference w:type="default" r:id="rId8"/>
      <w:footerReference w:type="even" r:id="rId9"/>
      <w:footerReference w:type="default" r:id="rId10"/>
      <w:footerReference w:type="first" r:id="rId11"/>
      <w:endnotePr>
        <w:numFmt w:val="decimal"/>
      </w:endnotePr>
      <w:pgSz w:w="11906" w:h="16838"/>
      <w:pgMar w:top="1134" w:right="1134" w:bottom="1134" w:left="1134"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37133" w14:textId="77777777" w:rsidR="004C223A" w:rsidRDefault="004C223A" w:rsidP="00A115DF">
      <w:pPr>
        <w:spacing w:after="0"/>
      </w:pPr>
      <w:r>
        <w:separator/>
      </w:r>
    </w:p>
  </w:endnote>
  <w:endnote w:type="continuationSeparator" w:id="0">
    <w:p w14:paraId="4A86DBD8" w14:textId="77777777" w:rsidR="004C223A" w:rsidRDefault="004C223A" w:rsidP="00A115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arrow">
    <w:altName w:val="Arial"/>
    <w:charset w:val="00"/>
    <w:family w:val="auto"/>
    <w:pitch w:val="variable"/>
    <w:sig w:usb0="E00002FF" w:usb1="50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BC473" w14:textId="77777777" w:rsidR="003F4929" w:rsidRDefault="003F4929">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54EAD" w14:textId="277A2927" w:rsidR="003F4929" w:rsidRDefault="007E32DD">
    <w:pPr>
      <w:pStyle w:val="Footer"/>
    </w:pPr>
    <w:r>
      <w:rPr>
        <w:noProof/>
        <w:lang w:eastAsia="fr-FR"/>
      </w:rPr>
      <mc:AlternateContent>
        <mc:Choice Requires="wps">
          <w:drawing>
            <wp:anchor distT="0" distB="0" distL="114300" distR="114300" simplePos="0" relativeHeight="251660288" behindDoc="0" locked="0" layoutInCell="1" allowOverlap="1" wp14:anchorId="2E4EC585" wp14:editId="68EEAD45">
              <wp:simplePos x="0" y="0"/>
              <wp:positionH relativeFrom="column">
                <wp:posOffset>4288155</wp:posOffset>
              </wp:positionH>
              <wp:positionV relativeFrom="paragraph">
                <wp:posOffset>297815</wp:posOffset>
              </wp:positionV>
              <wp:extent cx="365125" cy="285750"/>
              <wp:effectExtent l="1905" t="2540" r="4445"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1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0CF78" w14:textId="77777777" w:rsidR="003F4929" w:rsidRPr="00156C92" w:rsidRDefault="003F4929" w:rsidP="00156C92">
                          <w:pPr>
                            <w:jc w:val="center"/>
                            <w:rPr>
                              <w:color w:val="FFFFFF" w:themeColor="background1"/>
                              <w:sz w:val="22"/>
                            </w:rPr>
                          </w:pPr>
                          <w:r w:rsidRPr="00156C92">
                            <w:rPr>
                              <w:color w:val="FFFFFF" w:themeColor="background1"/>
                              <w:sz w:val="22"/>
                            </w:rPr>
                            <w:fldChar w:fldCharType="begin"/>
                          </w:r>
                          <w:r w:rsidRPr="00156C92">
                            <w:rPr>
                              <w:color w:val="FFFFFF" w:themeColor="background1"/>
                              <w:sz w:val="22"/>
                            </w:rPr>
                            <w:instrText xml:space="preserve"> PAGE  \* Arabic  \* MERGEFORMAT </w:instrText>
                          </w:r>
                          <w:r w:rsidRPr="00156C92">
                            <w:rPr>
                              <w:color w:val="FFFFFF" w:themeColor="background1"/>
                              <w:sz w:val="22"/>
                            </w:rPr>
                            <w:fldChar w:fldCharType="separate"/>
                          </w:r>
                          <w:r w:rsidR="00205A52">
                            <w:rPr>
                              <w:noProof/>
                              <w:color w:val="FFFFFF" w:themeColor="background1"/>
                              <w:sz w:val="22"/>
                            </w:rPr>
                            <w:t>10</w:t>
                          </w:r>
                          <w:r w:rsidRPr="00156C92">
                            <w:rPr>
                              <w:color w:val="FFFFFF" w:themeColor="background1"/>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EC585" id="Rectangle 8" o:spid="_x0000_s1026" style="position:absolute;left:0;text-align:left;margin-left:337.65pt;margin-top:23.45pt;width:28.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" filled="f" stroked="f">
              <v:textbox>
                <w:txbxContent>
                  <w:p w14:paraId="2720CF78" w14:textId="77777777" w:rsidR="003F4929" w:rsidRPr="00156C92" w:rsidRDefault="003F4929" w:rsidP="00156C92">
                    <w:pPr>
                      <w:jc w:val="center"/>
                      <w:rPr>
                        <w:color w:val="FFFFFF" w:themeColor="background1"/>
                        <w:sz w:val="22"/>
                      </w:rPr>
                    </w:pPr>
                    <w:r w:rsidRPr="00156C92">
                      <w:rPr>
                        <w:color w:val="FFFFFF" w:themeColor="background1"/>
                        <w:sz w:val="22"/>
                      </w:rPr>
                      <w:fldChar w:fldCharType="begin"/>
                    </w:r>
                    <w:r w:rsidRPr="00156C92">
                      <w:rPr>
                        <w:color w:val="FFFFFF" w:themeColor="background1"/>
                        <w:sz w:val="22"/>
                      </w:rPr>
                      <w:instrText xml:space="preserve"> PAGE  \* Arabic  \* MERGEFORMAT </w:instrText>
                    </w:r>
                    <w:r w:rsidRPr="00156C92">
                      <w:rPr>
                        <w:color w:val="FFFFFF" w:themeColor="background1"/>
                        <w:sz w:val="22"/>
                      </w:rPr>
                      <w:fldChar w:fldCharType="separate"/>
                    </w:r>
                    <w:r w:rsidR="00205A52">
                      <w:rPr>
                        <w:noProof/>
                        <w:color w:val="FFFFFF" w:themeColor="background1"/>
                        <w:sz w:val="22"/>
                      </w:rPr>
                      <w:t>10</w:t>
                    </w:r>
                    <w:r w:rsidRPr="00156C92">
                      <w:rPr>
                        <w:color w:val="FFFFFF" w:themeColor="background1"/>
                        <w:sz w:val="22"/>
                      </w:rPr>
                      <w:fldChar w:fldCharType="end"/>
                    </w:r>
                  </w:p>
                </w:txbxContent>
              </v:textbox>
            </v:rect>
          </w:pict>
        </mc:Fallback>
      </mc:AlternateContent>
    </w:r>
    <w:r w:rsidR="003F4929" w:rsidRPr="00CD06AD">
      <w:rPr>
        <w:noProof/>
        <w:lang w:eastAsia="fr-FR"/>
      </w:rPr>
      <w:drawing>
        <wp:anchor distT="0" distB="0" distL="114300" distR="114300" simplePos="0" relativeHeight="251656192" behindDoc="1" locked="1" layoutInCell="1" allowOverlap="1" wp14:anchorId="1EFC57A9" wp14:editId="51BBA7CA">
          <wp:simplePos x="0" y="0"/>
          <wp:positionH relativeFrom="page">
            <wp:posOffset>-19050</wp:posOffset>
          </wp:positionH>
          <wp:positionV relativeFrom="page">
            <wp:posOffset>10001250</wp:posOffset>
          </wp:positionV>
          <wp:extent cx="7572375" cy="676275"/>
          <wp:effectExtent l="19050" t="0" r="9525" b="0"/>
          <wp:wrapThrough wrapText="bothSides">
            <wp:wrapPolygon edited="0">
              <wp:start x="-54" y="0"/>
              <wp:lineTo x="-54" y="21296"/>
              <wp:lineTo x="21627" y="21296"/>
              <wp:lineTo x="21627" y="0"/>
              <wp:lineTo x="-54"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Page.png"/>
                  <pic:cNvPicPr/>
                </pic:nvPicPr>
                <pic:blipFill>
                  <a:blip r:embed="rId1">
                    <a:extLst>
                      <a:ext uri="{28A0092B-C50C-407E-A947-70E740481C1C}">
                        <a14:useLocalDpi xmlns:a14="http://schemas.microsoft.com/office/drawing/2010/main" val="0"/>
                      </a:ext>
                    </a:extLst>
                  </a:blip>
                  <a:stretch>
                    <a:fillRect/>
                  </a:stretch>
                </pic:blipFill>
                <pic:spPr>
                  <a:xfrm>
                    <a:off x="0" y="0"/>
                    <a:ext cx="7572375" cy="6762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66B10" w14:textId="77777777" w:rsidR="003F4929" w:rsidRDefault="003F4929">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A97DC" w14:textId="77777777" w:rsidR="004C223A" w:rsidRPr="005E38D6" w:rsidRDefault="004C223A" w:rsidP="00A115DF">
      <w:pPr>
        <w:spacing w:after="0"/>
        <w:rPr>
          <w:color w:val="D9D9D9" w:themeColor="background1" w:themeShade="D9"/>
        </w:rPr>
      </w:pPr>
      <w:r w:rsidRPr="005E38D6">
        <w:rPr>
          <w:color w:val="D9D9D9" w:themeColor="background1" w:themeShade="D9"/>
        </w:rPr>
        <w:t xml:space="preserve">…………………………… </w:t>
      </w:r>
    </w:p>
  </w:footnote>
  <w:footnote w:type="continuationSeparator" w:id="0">
    <w:p w14:paraId="0FAA8675" w14:textId="77777777" w:rsidR="004C223A" w:rsidRDefault="004C223A" w:rsidP="00A115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61F32" w14:textId="77777777" w:rsidR="003F4929" w:rsidRPr="00451931" w:rsidRDefault="003F4929" w:rsidP="000B0A1F">
    <w:pPr>
      <w:pStyle w:val="TitreEtudeMargeHaute"/>
      <w:rPr>
        <w:lang w:val="en-US"/>
      </w:rPr>
    </w:pPr>
    <w:r>
      <w:drawing>
        <wp:anchor distT="0" distB="0" distL="114300" distR="114300" simplePos="0" relativeHeight="251661312" behindDoc="0" locked="0" layoutInCell="1" allowOverlap="1" wp14:anchorId="7F870C02" wp14:editId="7AE495AB">
          <wp:simplePos x="0" y="0"/>
          <wp:positionH relativeFrom="margin">
            <wp:posOffset>5582920</wp:posOffset>
          </wp:positionH>
          <wp:positionV relativeFrom="paragraph">
            <wp:posOffset>-315595</wp:posOffset>
          </wp:positionV>
          <wp:extent cx="581025" cy="677545"/>
          <wp:effectExtent l="0" t="0" r="3175" b="8255"/>
          <wp:wrapSquare wrapText="bothSides"/>
          <wp:docPr id="1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931">
      <w:rPr>
        <w:lang w:val="en-US"/>
      </w:rPr>
      <w:t>EXECUTIVE SUMMARY - Scoping study on the mining sector - RCCMG Project - UNCDF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pt;height:6.6pt" o:bullet="t">
        <v:imagedata r:id="rId1" o:title="BD10268_"/>
      </v:shape>
    </w:pict>
  </w:numPicBullet>
  <w:abstractNum w:abstractNumId="0" w15:restartNumberingAfterBreak="0">
    <w:nsid w:val="FFFFFFFB"/>
    <w:multiLevelType w:val="multilevel"/>
    <w:tmpl w:val="799858C6"/>
    <w:lvl w:ilvl="0">
      <w:start w:val="1"/>
      <w:numFmt w:val="decimal"/>
      <w:lvlText w:val="%1."/>
      <w:lvlJc w:val="left"/>
      <w:pPr>
        <w:ind w:left="360" w:hanging="360"/>
      </w:pPr>
    </w:lvl>
    <w:lvl w:ilvl="1">
      <w:start w:val="1"/>
      <w:numFmt w:val="decimal"/>
      <w:lvlText w:val="%1.%2"/>
      <w:legacy w:legacy="1" w:legacySpace="0" w:legacyIndent="708"/>
      <w:lvlJc w:val="left"/>
      <w:pPr>
        <w:ind w:left="0" w:hanging="708"/>
      </w:pPr>
    </w:lvl>
    <w:lvl w:ilvl="2">
      <w:start w:val="1"/>
      <w:numFmt w:val="decimal"/>
      <w:lvlText w:val="%1.%2.%3"/>
      <w:legacy w:legacy="1" w:legacySpace="0" w:legacyIndent="708"/>
      <w:lvlJc w:val="left"/>
      <w:pPr>
        <w:ind w:left="708" w:hanging="708"/>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pPr>
        <w:ind w:left="2832" w:hanging="708"/>
      </w:pPr>
    </w:lvl>
    <w:lvl w:ilvl="6">
      <w:start w:val="1"/>
      <w:numFmt w:val="decimal"/>
      <w:lvlText w:val="%7."/>
      <w:legacy w:legacy="1" w:legacySpace="0" w:legacyIndent="708"/>
      <w:lvlJc w:val="left"/>
      <w:pPr>
        <w:ind w:left="3540" w:hanging="708"/>
      </w:pPr>
    </w:lvl>
    <w:lvl w:ilvl="7">
      <w:start w:val="1"/>
      <w:numFmt w:val="decimal"/>
      <w:lvlText w:val="%7.%8."/>
      <w:legacy w:legacy="1" w:legacySpace="0" w:legacyIndent="708"/>
      <w:lvlJc w:val="left"/>
      <w:pPr>
        <w:ind w:left="4248" w:hanging="708"/>
      </w:pPr>
    </w:lvl>
    <w:lvl w:ilvl="8">
      <w:start w:val="1"/>
      <w:numFmt w:val="decimal"/>
      <w:lvlText w:val="%7.%8.%9."/>
      <w:legacy w:legacy="1" w:legacySpace="0" w:legacyIndent="708"/>
      <w:lvlJc w:val="left"/>
      <w:pPr>
        <w:ind w:left="4956" w:hanging="708"/>
      </w:pPr>
    </w:lvl>
  </w:abstractNum>
  <w:abstractNum w:abstractNumId="1" w15:restartNumberingAfterBreak="0">
    <w:nsid w:val="011415E9"/>
    <w:multiLevelType w:val="hybridMultilevel"/>
    <w:tmpl w:val="C0565572"/>
    <w:lvl w:ilvl="0" w:tplc="7D328F5C">
      <w:start w:val="1"/>
      <w:numFmt w:val="bullet"/>
      <w:pStyle w:val="PuceNiveau1"/>
      <w:lvlText w:val=""/>
      <w:lvlJc w:val="left"/>
      <w:pPr>
        <w:ind w:left="720" w:hanging="360"/>
      </w:pPr>
      <w:rPr>
        <w:rFonts w:ascii="Symbol" w:hAnsi="Symbol" w:hint="default"/>
        <w:b w:val="0"/>
        <w:bCs w:val="0"/>
        <w:i w:val="0"/>
        <w:iCs w:val="0"/>
        <w:caps w:val="0"/>
        <w:smallCaps w:val="0"/>
        <w:strike w:val="0"/>
        <w:dstrike w:val="0"/>
        <w:noProof w:val="0"/>
        <w:vanish w:val="0"/>
        <w:color w:val="00818B"/>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F36A6E"/>
    <w:multiLevelType w:val="hybridMultilevel"/>
    <w:tmpl w:val="77661578"/>
    <w:lvl w:ilvl="0" w:tplc="44E473A2">
      <w:start w:val="1"/>
      <w:numFmt w:val="bullet"/>
      <w:pStyle w:val="StyledelisteTitre"/>
      <w:lvlText w:val=""/>
      <w:lvlPicBulletId w:val="0"/>
      <w:lvlJc w:val="left"/>
      <w:pPr>
        <w:ind w:left="360" w:hanging="360"/>
      </w:pPr>
      <w:rPr>
        <w:rFonts w:ascii="Symbol" w:hAnsi="Symbol" w:hint="default"/>
        <w:caps w:val="0"/>
        <w:color w:val="auto"/>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62B3E65"/>
    <w:multiLevelType w:val="multilevel"/>
    <w:tmpl w:val="CC964F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2142" w:hanging="1008"/>
      </w:pPr>
      <w:rPr>
        <w:rFonts w:hint="default"/>
        <w:lang w:val="fr-FR"/>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91931B6"/>
    <w:multiLevelType w:val="multilevel"/>
    <w:tmpl w:val="2AA0B78C"/>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ascii="Arial Black" w:hAnsi="Tahoma" w:hint="default"/>
      </w:rPr>
    </w:lvl>
    <w:lvl w:ilvl="3">
      <w:start w:val="1"/>
      <w:numFmt w:val="upperRoman"/>
      <w:lvlText w:val="%4."/>
      <w:lvlJc w:val="left"/>
      <w:pPr>
        <w:tabs>
          <w:tab w:val="num" w:pos="720"/>
        </w:tabs>
        <w:ind w:left="510" w:hanging="510"/>
      </w:pPr>
      <w:rPr>
        <w:rFonts w:hint="default"/>
      </w:rPr>
    </w:lvl>
    <w:lvl w:ilvl="4">
      <w:start w:val="1"/>
      <w:numFmt w:val="decimal"/>
      <w:lvlText w:val="%1%5."/>
      <w:lvlJc w:val="left"/>
      <w:pPr>
        <w:tabs>
          <w:tab w:val="num" w:pos="510"/>
        </w:tabs>
        <w:ind w:left="510" w:hanging="510"/>
      </w:pPr>
      <w:rPr>
        <w:rFonts w:hint="default"/>
      </w:rPr>
    </w:lvl>
    <w:lvl w:ilvl="5">
      <w:start w:val="1"/>
      <w:numFmt w:val="decimal"/>
      <w:lvlText w:val="%5.%6"/>
      <w:lvlJc w:val="left"/>
      <w:pPr>
        <w:tabs>
          <w:tab w:val="num" w:pos="510"/>
        </w:tabs>
        <w:ind w:left="510" w:hanging="510"/>
      </w:pPr>
      <w:rPr>
        <w:rFonts w:hint="default"/>
      </w:rPr>
    </w:lvl>
    <w:lvl w:ilvl="6">
      <w:start w:val="1"/>
      <w:numFmt w:val="none"/>
      <w:suff w:val="nothing"/>
      <w:lvlText w:val=""/>
      <w:lvlJc w:val="left"/>
      <w:pPr>
        <w:ind w:left="0" w:firstLine="0"/>
      </w:pPr>
      <w:rPr>
        <w:rFonts w:hint="default"/>
      </w:rPr>
    </w:lvl>
    <w:lvl w:ilvl="7">
      <w:start w:val="1"/>
      <w:numFmt w:val="bullet"/>
      <w:pStyle w:val="Pucepourtitre"/>
      <w:lvlText w:val=""/>
      <w:lvlJc w:val="left"/>
      <w:pPr>
        <w:tabs>
          <w:tab w:val="num" w:pos="360"/>
        </w:tabs>
        <w:ind w:left="340" w:hanging="340"/>
      </w:pPr>
      <w:rPr>
        <w:rFonts w:ascii="Wingdings" w:hAnsi="Wingdings" w:hint="default"/>
        <w:color w:val="31849B" w:themeColor="accent5" w:themeShade="BF"/>
        <w:sz w:val="20"/>
        <w:szCs w:val="20"/>
      </w:rPr>
    </w:lvl>
    <w:lvl w:ilvl="8">
      <w:start w:val="1"/>
      <w:numFmt w:val="none"/>
      <w:suff w:val="nothing"/>
      <w:lvlText w:val=""/>
      <w:lvlJc w:val="left"/>
      <w:pPr>
        <w:ind w:left="0" w:firstLine="0"/>
      </w:pPr>
      <w:rPr>
        <w:rFonts w:hint="default"/>
      </w:rPr>
    </w:lvl>
  </w:abstractNum>
  <w:abstractNum w:abstractNumId="5" w15:restartNumberingAfterBreak="0">
    <w:nsid w:val="0E21416C"/>
    <w:multiLevelType w:val="hybridMultilevel"/>
    <w:tmpl w:val="21503BEE"/>
    <w:lvl w:ilvl="0" w:tplc="F36287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24177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B77C63"/>
    <w:multiLevelType w:val="hybridMultilevel"/>
    <w:tmpl w:val="2F761DEE"/>
    <w:lvl w:ilvl="0" w:tplc="95AC749A">
      <w:start w:val="1"/>
      <w:numFmt w:val="bullet"/>
      <w:pStyle w:val="syledelisteNv1"/>
      <w:lvlText w:val=""/>
      <w:lvlJc w:val="left"/>
      <w:pPr>
        <w:ind w:left="720" w:hanging="360"/>
      </w:pPr>
      <w:rPr>
        <w:rFonts w:ascii="Symbol" w:hAnsi="Symbol" w:hint="default"/>
        <w:caps w:val="0"/>
        <w:color w:val="00818B"/>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732B9C"/>
    <w:multiLevelType w:val="multilevel"/>
    <w:tmpl w:val="15445080"/>
    <w:lvl w:ilvl="0">
      <w:start w:val="1"/>
      <w:numFmt w:val="decimal"/>
      <w:lvlText w:val="%1"/>
      <w:lvlJc w:val="left"/>
      <w:pPr>
        <w:ind w:left="999" w:hanging="432"/>
      </w:pPr>
      <w:rPr>
        <w:rFonts w:hint="default"/>
      </w:rPr>
    </w:lvl>
    <w:lvl w:ilvl="1">
      <w:start w:val="1"/>
      <w:numFmt w:val="decimal"/>
      <w:lvlText w:val="%1.%2"/>
      <w:lvlJc w:val="left"/>
      <w:pPr>
        <w:ind w:left="1143"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9" w15:restartNumberingAfterBreak="0">
    <w:nsid w:val="640F52C9"/>
    <w:multiLevelType w:val="hybridMultilevel"/>
    <w:tmpl w:val="5E4862FA"/>
    <w:lvl w:ilvl="0" w:tplc="6AE8D220">
      <w:start w:val="1"/>
      <w:numFmt w:val="bullet"/>
      <w:pStyle w:val="styledelisteniv2"/>
      <w:lvlText w:val=""/>
      <w:lvlJc w:val="left"/>
      <w:pPr>
        <w:ind w:left="1069" w:hanging="360"/>
      </w:pPr>
      <w:rPr>
        <w:rFonts w:ascii="Symbol" w:hAnsi="Symbol" w:hint="default"/>
        <w:color w:val="0099A8"/>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67142F09"/>
    <w:multiLevelType w:val="multilevel"/>
    <w:tmpl w:val="F6329F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C141415"/>
    <w:multiLevelType w:val="hybridMultilevel"/>
    <w:tmpl w:val="58DC7A6C"/>
    <w:lvl w:ilvl="0" w:tplc="75BC2F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31E2482"/>
    <w:multiLevelType w:val="hybridMultilevel"/>
    <w:tmpl w:val="412A4284"/>
    <w:lvl w:ilvl="0" w:tplc="CFBC1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380364F"/>
    <w:multiLevelType w:val="hybridMultilevel"/>
    <w:tmpl w:val="78B05ED6"/>
    <w:lvl w:ilvl="0" w:tplc="4212F8F2">
      <w:start w:val="1"/>
      <w:numFmt w:val="bullet"/>
      <w:lvlText w:val=""/>
      <w:lvlJc w:val="left"/>
      <w:pPr>
        <w:ind w:left="720" w:hanging="360"/>
      </w:pPr>
      <w:rPr>
        <w:rFonts w:ascii="Symbol" w:hAnsi="Symbol" w:hint="default"/>
        <w:caps w:val="0"/>
        <w:color w:val="1F497D" w:themeColor="text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
  </w:num>
  <w:num w:numId="4">
    <w:abstractNumId w:val="3"/>
  </w:num>
  <w:num w:numId="5">
    <w:abstractNumId w:val="1"/>
  </w:num>
  <w:num w:numId="6">
    <w:abstractNumId w:val="9"/>
  </w:num>
  <w:num w:numId="7">
    <w:abstractNumId w:val="4"/>
  </w:num>
  <w:num w:numId="8">
    <w:abstractNumId w:val="6"/>
  </w:num>
  <w:num w:numId="9">
    <w:abstractNumId w:val="12"/>
  </w:num>
  <w:num w:numId="10">
    <w:abstractNumId w:val="5"/>
  </w:num>
  <w:num w:numId="11">
    <w:abstractNumId w:val="10"/>
  </w:num>
  <w:num w:numId="12">
    <w:abstractNumId w:val="0"/>
  </w:num>
  <w:num w:numId="13">
    <w:abstractNumId w:val="8"/>
  </w:num>
  <w:num w:numId="14">
    <w:abstractNumId w:val="11"/>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1MjIzNzAyMjczMDFS0lEKTi0uzszPAykwrAUAossboSwAAAA="/>
  </w:docVars>
  <w:rsids>
    <w:rsidRoot w:val="00DF76AA"/>
    <w:rsid w:val="00005467"/>
    <w:rsid w:val="0001395E"/>
    <w:rsid w:val="00016E13"/>
    <w:rsid w:val="00025DC0"/>
    <w:rsid w:val="000536A3"/>
    <w:rsid w:val="000671C3"/>
    <w:rsid w:val="00093EE4"/>
    <w:rsid w:val="000A4495"/>
    <w:rsid w:val="000B0A1F"/>
    <w:rsid w:val="000C39DE"/>
    <w:rsid w:val="000C4254"/>
    <w:rsid w:val="001473B4"/>
    <w:rsid w:val="0015060E"/>
    <w:rsid w:val="00156C92"/>
    <w:rsid w:val="00165436"/>
    <w:rsid w:val="00172507"/>
    <w:rsid w:val="00177ACC"/>
    <w:rsid w:val="001821FC"/>
    <w:rsid w:val="00183BEB"/>
    <w:rsid w:val="00190A27"/>
    <w:rsid w:val="001A0745"/>
    <w:rsid w:val="001C1FCA"/>
    <w:rsid w:val="001C3F40"/>
    <w:rsid w:val="001C5EA5"/>
    <w:rsid w:val="001D5896"/>
    <w:rsid w:val="001F05C9"/>
    <w:rsid w:val="0020463D"/>
    <w:rsid w:val="002058A7"/>
    <w:rsid w:val="00205A52"/>
    <w:rsid w:val="0021487E"/>
    <w:rsid w:val="00264502"/>
    <w:rsid w:val="00265339"/>
    <w:rsid w:val="002943EA"/>
    <w:rsid w:val="002A6E16"/>
    <w:rsid w:val="002B0676"/>
    <w:rsid w:val="002B0FBD"/>
    <w:rsid w:val="002B2247"/>
    <w:rsid w:val="002C76BA"/>
    <w:rsid w:val="002F21EE"/>
    <w:rsid w:val="00322151"/>
    <w:rsid w:val="003223F3"/>
    <w:rsid w:val="003367A8"/>
    <w:rsid w:val="00362F60"/>
    <w:rsid w:val="00372C93"/>
    <w:rsid w:val="0039007D"/>
    <w:rsid w:val="00397FC5"/>
    <w:rsid w:val="003A304E"/>
    <w:rsid w:val="003B38CF"/>
    <w:rsid w:val="003D35AA"/>
    <w:rsid w:val="003E17F1"/>
    <w:rsid w:val="003E6745"/>
    <w:rsid w:val="003F22A6"/>
    <w:rsid w:val="003F4929"/>
    <w:rsid w:val="004115F3"/>
    <w:rsid w:val="004239CD"/>
    <w:rsid w:val="00424B39"/>
    <w:rsid w:val="0042619F"/>
    <w:rsid w:val="00443640"/>
    <w:rsid w:val="00451931"/>
    <w:rsid w:val="0046374D"/>
    <w:rsid w:val="00472256"/>
    <w:rsid w:val="00475EE4"/>
    <w:rsid w:val="00490D9A"/>
    <w:rsid w:val="004B3B4F"/>
    <w:rsid w:val="004C223A"/>
    <w:rsid w:val="004C6B7A"/>
    <w:rsid w:val="004C71F0"/>
    <w:rsid w:val="004D20E2"/>
    <w:rsid w:val="004E02FC"/>
    <w:rsid w:val="004F097D"/>
    <w:rsid w:val="004F6329"/>
    <w:rsid w:val="005250B7"/>
    <w:rsid w:val="00526856"/>
    <w:rsid w:val="00541AFA"/>
    <w:rsid w:val="0055405A"/>
    <w:rsid w:val="00564B3E"/>
    <w:rsid w:val="005A5FF4"/>
    <w:rsid w:val="005C2236"/>
    <w:rsid w:val="005D1A72"/>
    <w:rsid w:val="005E38D6"/>
    <w:rsid w:val="005E7549"/>
    <w:rsid w:val="005F5163"/>
    <w:rsid w:val="0060302F"/>
    <w:rsid w:val="00605727"/>
    <w:rsid w:val="00622802"/>
    <w:rsid w:val="00686BF4"/>
    <w:rsid w:val="006949E2"/>
    <w:rsid w:val="006A0DB0"/>
    <w:rsid w:val="006A6926"/>
    <w:rsid w:val="006A6DED"/>
    <w:rsid w:val="006A6ED2"/>
    <w:rsid w:val="006D0F58"/>
    <w:rsid w:val="006D23A1"/>
    <w:rsid w:val="006E46ED"/>
    <w:rsid w:val="0070294D"/>
    <w:rsid w:val="00711C88"/>
    <w:rsid w:val="0071262D"/>
    <w:rsid w:val="007221B6"/>
    <w:rsid w:val="007512F7"/>
    <w:rsid w:val="00753DD1"/>
    <w:rsid w:val="007761E8"/>
    <w:rsid w:val="00781221"/>
    <w:rsid w:val="007E32DD"/>
    <w:rsid w:val="007E79F6"/>
    <w:rsid w:val="00807C4A"/>
    <w:rsid w:val="00824272"/>
    <w:rsid w:val="00851F8C"/>
    <w:rsid w:val="00852AD7"/>
    <w:rsid w:val="00862510"/>
    <w:rsid w:val="008703B0"/>
    <w:rsid w:val="008A69B8"/>
    <w:rsid w:val="008C1F15"/>
    <w:rsid w:val="008F14E9"/>
    <w:rsid w:val="008F3843"/>
    <w:rsid w:val="009237E5"/>
    <w:rsid w:val="0093025F"/>
    <w:rsid w:val="00934E99"/>
    <w:rsid w:val="00937815"/>
    <w:rsid w:val="009C11AC"/>
    <w:rsid w:val="009D2BDE"/>
    <w:rsid w:val="009E7D69"/>
    <w:rsid w:val="009F251C"/>
    <w:rsid w:val="00A02F39"/>
    <w:rsid w:val="00A03ED3"/>
    <w:rsid w:val="00A115DF"/>
    <w:rsid w:val="00A155DE"/>
    <w:rsid w:val="00A1629A"/>
    <w:rsid w:val="00A16417"/>
    <w:rsid w:val="00A272FD"/>
    <w:rsid w:val="00A32B43"/>
    <w:rsid w:val="00A67DEF"/>
    <w:rsid w:val="00A70F83"/>
    <w:rsid w:val="00A738AE"/>
    <w:rsid w:val="00A7689D"/>
    <w:rsid w:val="00A90FF3"/>
    <w:rsid w:val="00A9548D"/>
    <w:rsid w:val="00AE0F92"/>
    <w:rsid w:val="00AE1A3E"/>
    <w:rsid w:val="00AF6666"/>
    <w:rsid w:val="00AF68E9"/>
    <w:rsid w:val="00B13EEC"/>
    <w:rsid w:val="00B81D1C"/>
    <w:rsid w:val="00B90CED"/>
    <w:rsid w:val="00BB4F1B"/>
    <w:rsid w:val="00BC262D"/>
    <w:rsid w:val="00BD05D7"/>
    <w:rsid w:val="00BF2EE7"/>
    <w:rsid w:val="00C00F68"/>
    <w:rsid w:val="00C01591"/>
    <w:rsid w:val="00C01EFD"/>
    <w:rsid w:val="00C40554"/>
    <w:rsid w:val="00C555E0"/>
    <w:rsid w:val="00C60ED4"/>
    <w:rsid w:val="00C815AC"/>
    <w:rsid w:val="00CA2B9B"/>
    <w:rsid w:val="00CB003B"/>
    <w:rsid w:val="00CB0A01"/>
    <w:rsid w:val="00CC1B34"/>
    <w:rsid w:val="00CC370F"/>
    <w:rsid w:val="00CC5140"/>
    <w:rsid w:val="00CD06AD"/>
    <w:rsid w:val="00CE50BB"/>
    <w:rsid w:val="00CE7F1C"/>
    <w:rsid w:val="00D1761A"/>
    <w:rsid w:val="00D42388"/>
    <w:rsid w:val="00D44279"/>
    <w:rsid w:val="00D806F6"/>
    <w:rsid w:val="00D870B0"/>
    <w:rsid w:val="00D87CD4"/>
    <w:rsid w:val="00D96917"/>
    <w:rsid w:val="00DB4E68"/>
    <w:rsid w:val="00DC676D"/>
    <w:rsid w:val="00DC7450"/>
    <w:rsid w:val="00DD450A"/>
    <w:rsid w:val="00DD6D3E"/>
    <w:rsid w:val="00DE3819"/>
    <w:rsid w:val="00DF54C6"/>
    <w:rsid w:val="00DF76AA"/>
    <w:rsid w:val="00E00D35"/>
    <w:rsid w:val="00E07ACE"/>
    <w:rsid w:val="00E256EB"/>
    <w:rsid w:val="00E313F8"/>
    <w:rsid w:val="00E36D0D"/>
    <w:rsid w:val="00E37B96"/>
    <w:rsid w:val="00E41D50"/>
    <w:rsid w:val="00E56164"/>
    <w:rsid w:val="00E626D2"/>
    <w:rsid w:val="00E66D9C"/>
    <w:rsid w:val="00E85030"/>
    <w:rsid w:val="00E86236"/>
    <w:rsid w:val="00EB171B"/>
    <w:rsid w:val="00EC760A"/>
    <w:rsid w:val="00ED3B8B"/>
    <w:rsid w:val="00F271C2"/>
    <w:rsid w:val="00F364DE"/>
    <w:rsid w:val="00F40C67"/>
    <w:rsid w:val="00F43460"/>
    <w:rsid w:val="00F506AC"/>
    <w:rsid w:val="00F71170"/>
    <w:rsid w:val="00F80676"/>
    <w:rsid w:val="00FA289A"/>
    <w:rsid w:val="00FB365F"/>
    <w:rsid w:val="00FC7A60"/>
    <w:rsid w:val="00FD7E0A"/>
    <w:rsid w:val="00FE2B75"/>
    <w:rsid w:val="00FE6EF8"/>
    <w:rsid w:val="00FF18AB"/>
    <w:rsid w:val="00FF63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113A10"/>
  <w15:docId w15:val="{87FE6F88-8B2C-4D58-AD7F-7B565231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AC"/>
    <w:pPr>
      <w:spacing w:line="240" w:lineRule="auto"/>
      <w:jc w:val="both"/>
    </w:pPr>
    <w:rPr>
      <w:rFonts w:ascii="Arial" w:hAnsi="Arial"/>
      <w:sz w:val="20"/>
    </w:rPr>
  </w:style>
  <w:style w:type="paragraph" w:styleId="Heading1">
    <w:name w:val="heading 1"/>
    <w:basedOn w:val="Normal"/>
    <w:next w:val="Normal"/>
    <w:link w:val="Heading1Char"/>
    <w:uiPriority w:val="9"/>
    <w:qFormat/>
    <w:rsid w:val="003D35AA"/>
    <w:pPr>
      <w:keepNext/>
      <w:keepLines/>
      <w:numPr>
        <w:numId w:val="11"/>
      </w:numPr>
      <w:spacing w:before="360" w:after="120"/>
      <w:jc w:val="left"/>
      <w:outlineLvl w:val="0"/>
    </w:pPr>
    <w:rPr>
      <w:rFonts w:eastAsiaTheme="majorEastAsia" w:cstheme="majorBidi"/>
      <w:b/>
      <w:bCs/>
      <w:color w:val="00818B"/>
      <w:sz w:val="32"/>
      <w:szCs w:val="28"/>
    </w:rPr>
  </w:style>
  <w:style w:type="paragraph" w:styleId="Heading2">
    <w:name w:val="heading 2"/>
    <w:basedOn w:val="Normal"/>
    <w:next w:val="Normal"/>
    <w:link w:val="Heading2Char"/>
    <w:unhideWhenUsed/>
    <w:qFormat/>
    <w:rsid w:val="003D35AA"/>
    <w:pPr>
      <w:keepNext/>
      <w:keepLines/>
      <w:numPr>
        <w:ilvl w:val="1"/>
        <w:numId w:val="11"/>
      </w:numPr>
      <w:spacing w:before="200" w:after="120"/>
      <w:ind w:left="805" w:hanging="578"/>
      <w:outlineLvl w:val="1"/>
    </w:pPr>
    <w:rPr>
      <w:rFonts w:eastAsiaTheme="majorEastAsia" w:cstheme="majorBidi"/>
      <w:b/>
      <w:bCs/>
      <w:color w:val="00818B"/>
      <w:sz w:val="28"/>
      <w:szCs w:val="26"/>
    </w:rPr>
  </w:style>
  <w:style w:type="paragraph" w:styleId="Heading3">
    <w:name w:val="heading 3"/>
    <w:basedOn w:val="Normal"/>
    <w:next w:val="Normal"/>
    <w:link w:val="Heading3Char"/>
    <w:uiPriority w:val="9"/>
    <w:unhideWhenUsed/>
    <w:qFormat/>
    <w:rsid w:val="003D35AA"/>
    <w:pPr>
      <w:keepNext/>
      <w:keepLines/>
      <w:numPr>
        <w:ilvl w:val="2"/>
        <w:numId w:val="11"/>
      </w:numPr>
      <w:spacing w:before="200" w:after="120"/>
      <w:ind w:left="1174"/>
      <w:outlineLvl w:val="2"/>
    </w:pPr>
    <w:rPr>
      <w:rFonts w:eastAsiaTheme="majorEastAsia" w:cstheme="majorBidi"/>
      <w:b/>
      <w:bCs/>
      <w:color w:val="00818B"/>
      <w:sz w:val="24"/>
    </w:rPr>
  </w:style>
  <w:style w:type="paragraph" w:styleId="Heading4">
    <w:name w:val="heading 4"/>
    <w:basedOn w:val="Normal"/>
    <w:next w:val="Normal"/>
    <w:link w:val="Heading4Char"/>
    <w:uiPriority w:val="99"/>
    <w:unhideWhenUsed/>
    <w:qFormat/>
    <w:rsid w:val="003D35AA"/>
    <w:pPr>
      <w:keepNext/>
      <w:keepLines/>
      <w:numPr>
        <w:ilvl w:val="3"/>
        <w:numId w:val="11"/>
      </w:numPr>
      <w:spacing w:before="200" w:after="120"/>
      <w:ind w:left="1429" w:hanging="862"/>
      <w:outlineLvl w:val="3"/>
    </w:pPr>
    <w:rPr>
      <w:rFonts w:ascii="Arial Narrow" w:eastAsiaTheme="majorEastAsia" w:hAnsi="Arial Narrow" w:cstheme="majorBidi"/>
      <w:b/>
      <w:bCs/>
      <w:iCs/>
      <w:color w:val="00818B"/>
      <w:sz w:val="24"/>
    </w:rPr>
  </w:style>
  <w:style w:type="paragraph" w:styleId="Heading5">
    <w:name w:val="heading 5"/>
    <w:basedOn w:val="Normal"/>
    <w:next w:val="Normal"/>
    <w:link w:val="Heading5Char"/>
    <w:uiPriority w:val="9"/>
    <w:unhideWhenUsed/>
    <w:qFormat/>
    <w:rsid w:val="003D35AA"/>
    <w:pPr>
      <w:keepNext/>
      <w:keepLines/>
      <w:numPr>
        <w:ilvl w:val="4"/>
        <w:numId w:val="11"/>
      </w:numPr>
      <w:spacing w:before="200" w:after="120"/>
      <w:ind w:left="1689" w:hanging="1009"/>
      <w:outlineLvl w:val="4"/>
    </w:pPr>
    <w:rPr>
      <w:rFonts w:eastAsiaTheme="majorEastAsia" w:cstheme="majorBidi"/>
      <w:b/>
      <w:color w:val="00818B"/>
      <w:sz w:val="22"/>
    </w:rPr>
  </w:style>
  <w:style w:type="paragraph" w:styleId="Heading6">
    <w:name w:val="heading 6"/>
    <w:basedOn w:val="Normal"/>
    <w:next w:val="Normal"/>
    <w:link w:val="Heading6Char"/>
    <w:uiPriority w:val="9"/>
    <w:unhideWhenUsed/>
    <w:qFormat/>
    <w:rsid w:val="003D35AA"/>
    <w:pPr>
      <w:keepNext/>
      <w:keepLines/>
      <w:numPr>
        <w:ilvl w:val="5"/>
        <w:numId w:val="11"/>
      </w:numPr>
      <w:spacing w:before="200" w:after="120"/>
      <w:ind w:left="1945" w:hanging="1151"/>
      <w:outlineLvl w:val="5"/>
    </w:pPr>
    <w:rPr>
      <w:rFonts w:eastAsiaTheme="majorEastAsia" w:cstheme="majorBidi"/>
      <w:b/>
      <w:iCs/>
      <w:color w:val="00818B"/>
    </w:rPr>
  </w:style>
  <w:style w:type="paragraph" w:styleId="Heading7">
    <w:name w:val="heading 7"/>
    <w:basedOn w:val="Normal"/>
    <w:next w:val="Normal"/>
    <w:link w:val="Heading7Char"/>
    <w:uiPriority w:val="9"/>
    <w:unhideWhenUsed/>
    <w:qFormat/>
    <w:rsid w:val="003D35AA"/>
    <w:pPr>
      <w:keepNext/>
      <w:keepLines/>
      <w:numPr>
        <w:ilvl w:val="6"/>
        <w:numId w:val="11"/>
      </w:numPr>
      <w:spacing w:before="200" w:after="120"/>
      <w:ind w:left="2205" w:hanging="1298"/>
      <w:outlineLvl w:val="6"/>
    </w:pPr>
    <w:rPr>
      <w:rFonts w:ascii="Arial Narrow" w:eastAsiaTheme="majorEastAsia" w:hAnsi="Arial Narrow" w:cstheme="majorBidi"/>
      <w:b/>
      <w:iCs/>
      <w:color w:val="00818B"/>
    </w:rPr>
  </w:style>
  <w:style w:type="paragraph" w:styleId="Heading8">
    <w:name w:val="heading 8"/>
    <w:basedOn w:val="Normal"/>
    <w:next w:val="Normal"/>
    <w:link w:val="Heading8Char"/>
    <w:uiPriority w:val="9"/>
    <w:semiHidden/>
    <w:unhideWhenUsed/>
    <w:rsid w:val="00397FC5"/>
    <w:pPr>
      <w:keepNext/>
      <w:keepLines/>
      <w:numPr>
        <w:ilvl w:val="7"/>
        <w:numId w:val="1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397FC5"/>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5DF"/>
    <w:pPr>
      <w:tabs>
        <w:tab w:val="center" w:pos="4536"/>
        <w:tab w:val="right" w:pos="9072"/>
      </w:tabs>
      <w:spacing w:after="0"/>
    </w:pPr>
  </w:style>
  <w:style w:type="character" w:customStyle="1" w:styleId="HeaderChar">
    <w:name w:val="Header Char"/>
    <w:basedOn w:val="DefaultParagraphFont"/>
    <w:link w:val="Header"/>
    <w:uiPriority w:val="99"/>
    <w:rsid w:val="00A115DF"/>
  </w:style>
  <w:style w:type="paragraph" w:styleId="Footer">
    <w:name w:val="footer"/>
    <w:basedOn w:val="Normal"/>
    <w:link w:val="FooterChar"/>
    <w:uiPriority w:val="99"/>
    <w:unhideWhenUsed/>
    <w:locked/>
    <w:rsid w:val="00A115DF"/>
    <w:pPr>
      <w:tabs>
        <w:tab w:val="center" w:pos="4536"/>
        <w:tab w:val="right" w:pos="9072"/>
      </w:tabs>
      <w:spacing w:after="0"/>
    </w:pPr>
  </w:style>
  <w:style w:type="character" w:customStyle="1" w:styleId="FooterChar">
    <w:name w:val="Footer Char"/>
    <w:basedOn w:val="DefaultParagraphFont"/>
    <w:link w:val="Footer"/>
    <w:uiPriority w:val="99"/>
    <w:rsid w:val="00A115DF"/>
  </w:style>
  <w:style w:type="paragraph" w:customStyle="1" w:styleId="TitreEtudeMargeHaute">
    <w:name w:val="TitreEtudeMargeHaute"/>
    <w:basedOn w:val="Normal"/>
    <w:link w:val="TitreEtudeMargeHauteCar"/>
    <w:qFormat/>
    <w:rsid w:val="00A115DF"/>
    <w:pPr>
      <w:spacing w:before="120" w:after="120"/>
      <w:contextualSpacing/>
    </w:pPr>
    <w:rPr>
      <w:rFonts w:ascii="Helvetica Narrow" w:eastAsia="Cambria" w:hAnsi="Helvetica Narrow" w:cs="Times New Roman"/>
      <w:i/>
      <w:smallCaps/>
      <w:noProof/>
      <w:color w:val="00AFBC"/>
      <w:szCs w:val="24"/>
      <w:lang w:eastAsia="fr-FR"/>
    </w:rPr>
  </w:style>
  <w:style w:type="paragraph" w:customStyle="1" w:styleId="En-tteINS">
    <w:name w:val="En-têteINS"/>
    <w:basedOn w:val="TitreEtudeMargeHaute"/>
    <w:link w:val="En-tteINSCar"/>
    <w:qFormat/>
    <w:rsid w:val="00F40C67"/>
    <w:rPr>
      <w:rFonts w:ascii="Arial Narrow" w:hAnsi="Arial Narrow"/>
    </w:rPr>
  </w:style>
  <w:style w:type="paragraph" w:customStyle="1" w:styleId="TitreSection">
    <w:name w:val="TitreSection"/>
    <w:basedOn w:val="Normal"/>
    <w:next w:val="Normal"/>
    <w:link w:val="TitreSectionCar"/>
    <w:locked/>
    <w:rsid w:val="00A115DF"/>
    <w:pPr>
      <w:spacing w:before="120" w:after="240"/>
    </w:pPr>
    <w:rPr>
      <w:rFonts w:ascii="Helvetica" w:eastAsiaTheme="minorEastAsia" w:hAnsi="Helvetica"/>
      <w:b/>
      <w:color w:val="00818B"/>
      <w:sz w:val="32"/>
      <w:szCs w:val="32"/>
      <w:lang w:eastAsia="ja-JP"/>
    </w:rPr>
  </w:style>
  <w:style w:type="character" w:customStyle="1" w:styleId="TitreEtudeMargeHauteCar">
    <w:name w:val="TitreEtudeMargeHaute Car"/>
    <w:basedOn w:val="DefaultParagraphFont"/>
    <w:link w:val="TitreEtudeMargeHaute"/>
    <w:rsid w:val="00A115DF"/>
    <w:rPr>
      <w:rFonts w:ascii="Helvetica Narrow" w:eastAsia="Cambria" w:hAnsi="Helvetica Narrow" w:cs="Times New Roman"/>
      <w:i/>
      <w:smallCaps/>
      <w:noProof/>
      <w:color w:val="00AFBC"/>
      <w:szCs w:val="24"/>
      <w:lang w:eastAsia="fr-FR"/>
    </w:rPr>
  </w:style>
  <w:style w:type="character" w:customStyle="1" w:styleId="En-tteINSCar">
    <w:name w:val="En-têteINS Car"/>
    <w:basedOn w:val="TitreEtudeMargeHauteCar"/>
    <w:link w:val="En-tteINS"/>
    <w:rsid w:val="00A115DF"/>
    <w:rPr>
      <w:rFonts w:ascii="Helvetica Narrow" w:eastAsia="Cambria" w:hAnsi="Helvetica Narrow" w:cs="Times New Roman"/>
      <w:i/>
      <w:smallCaps/>
      <w:noProof/>
      <w:color w:val="00AFBC"/>
      <w:szCs w:val="24"/>
      <w:lang w:eastAsia="fr-FR"/>
    </w:rPr>
  </w:style>
  <w:style w:type="paragraph" w:customStyle="1" w:styleId="TitreSectionINS">
    <w:name w:val="TitreSectionINS"/>
    <w:basedOn w:val="TitreSection"/>
    <w:next w:val="Normal"/>
    <w:link w:val="TitreSectionINSCar"/>
    <w:qFormat/>
    <w:rsid w:val="005A5FF4"/>
    <w:pPr>
      <w:outlineLvl w:val="0"/>
    </w:pPr>
    <w:rPr>
      <w:rFonts w:ascii="Arial" w:hAnsi="Arial" w:cs="Arial"/>
    </w:rPr>
  </w:style>
  <w:style w:type="paragraph" w:customStyle="1" w:styleId="EquipeINS">
    <w:name w:val="EquipeINS"/>
    <w:basedOn w:val="Normal"/>
    <w:link w:val="EquipeINSCar"/>
    <w:qFormat/>
    <w:rsid w:val="00F40C67"/>
    <w:pPr>
      <w:spacing w:before="120"/>
    </w:pPr>
    <w:rPr>
      <w:rFonts w:cs="Arial"/>
      <w:i/>
      <w:color w:val="0099A8"/>
      <w:szCs w:val="20"/>
    </w:rPr>
  </w:style>
  <w:style w:type="character" w:customStyle="1" w:styleId="TitreSectionCar">
    <w:name w:val="TitreSection Car"/>
    <w:basedOn w:val="DefaultParagraphFont"/>
    <w:link w:val="TitreSection"/>
    <w:rsid w:val="00A115DF"/>
    <w:rPr>
      <w:rFonts w:ascii="Helvetica" w:eastAsiaTheme="minorEastAsia" w:hAnsi="Helvetica"/>
      <w:b/>
      <w:color w:val="00818B"/>
      <w:sz w:val="32"/>
      <w:szCs w:val="32"/>
      <w:lang w:eastAsia="ja-JP"/>
    </w:rPr>
  </w:style>
  <w:style w:type="character" w:customStyle="1" w:styleId="TitreSectionINSCar">
    <w:name w:val="TitreSectionINS Car"/>
    <w:basedOn w:val="TitreSectionCar"/>
    <w:link w:val="TitreSectionINS"/>
    <w:rsid w:val="005A5FF4"/>
    <w:rPr>
      <w:rFonts w:ascii="Arial" w:eastAsiaTheme="minorEastAsia" w:hAnsi="Arial" w:cs="Arial"/>
      <w:b/>
      <w:color w:val="00818B"/>
      <w:sz w:val="32"/>
      <w:szCs w:val="32"/>
      <w:lang w:eastAsia="ja-JP"/>
    </w:rPr>
  </w:style>
  <w:style w:type="character" w:customStyle="1" w:styleId="Heading1Char">
    <w:name w:val="Heading 1 Char"/>
    <w:basedOn w:val="DefaultParagraphFont"/>
    <w:link w:val="Heading1"/>
    <w:uiPriority w:val="9"/>
    <w:rsid w:val="003D35AA"/>
    <w:rPr>
      <w:rFonts w:ascii="Arial" w:eastAsiaTheme="majorEastAsia" w:hAnsi="Arial" w:cstheme="majorBidi"/>
      <w:b/>
      <w:bCs/>
      <w:color w:val="00818B"/>
      <w:sz w:val="32"/>
      <w:szCs w:val="28"/>
    </w:rPr>
  </w:style>
  <w:style w:type="character" w:customStyle="1" w:styleId="EquipeINSCar">
    <w:name w:val="EquipeINS Car"/>
    <w:basedOn w:val="DefaultParagraphFont"/>
    <w:link w:val="EquipeINS"/>
    <w:rsid w:val="00F40C67"/>
    <w:rPr>
      <w:rFonts w:ascii="Arial" w:hAnsi="Arial" w:cs="Arial"/>
      <w:i/>
      <w:color w:val="0099A8"/>
      <w:sz w:val="20"/>
      <w:szCs w:val="20"/>
    </w:rPr>
  </w:style>
  <w:style w:type="paragraph" w:styleId="BalloonText">
    <w:name w:val="Balloon Text"/>
    <w:basedOn w:val="Normal"/>
    <w:link w:val="BalloonTextChar"/>
    <w:uiPriority w:val="99"/>
    <w:semiHidden/>
    <w:unhideWhenUsed/>
    <w:rsid w:val="002B0F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FBD"/>
    <w:rPr>
      <w:rFonts w:ascii="Tahoma" w:hAnsi="Tahoma" w:cs="Tahoma"/>
      <w:sz w:val="16"/>
      <w:szCs w:val="16"/>
    </w:rPr>
  </w:style>
  <w:style w:type="paragraph" w:styleId="ListParagraph">
    <w:name w:val="List Paragraph"/>
    <w:basedOn w:val="Normal"/>
    <w:link w:val="ListParagraphChar"/>
    <w:uiPriority w:val="34"/>
    <w:qFormat/>
    <w:locked/>
    <w:rsid w:val="009D2BDE"/>
    <w:pPr>
      <w:ind w:left="720"/>
      <w:contextualSpacing/>
    </w:pPr>
  </w:style>
  <w:style w:type="paragraph" w:customStyle="1" w:styleId="syledelisteNv1">
    <w:name w:val="syledelisteNv1"/>
    <w:basedOn w:val="ListParagraph"/>
    <w:link w:val="syledelisteNv1Car1"/>
    <w:qFormat/>
    <w:rsid w:val="00F40C67"/>
    <w:pPr>
      <w:numPr>
        <w:numId w:val="1"/>
      </w:numPr>
      <w:ind w:left="714" w:hanging="357"/>
    </w:pPr>
  </w:style>
  <w:style w:type="paragraph" w:customStyle="1" w:styleId="StyledelisteTitre">
    <w:name w:val="StyledelisteTitre"/>
    <w:basedOn w:val="Normal"/>
    <w:link w:val="StyledelisteTitreCar"/>
    <w:qFormat/>
    <w:rsid w:val="002058A7"/>
    <w:pPr>
      <w:numPr>
        <w:numId w:val="3"/>
      </w:numPr>
      <w:spacing w:before="180" w:after="120"/>
      <w:jc w:val="left"/>
    </w:pPr>
    <w:rPr>
      <w:b/>
      <w:sz w:val="22"/>
    </w:rPr>
  </w:style>
  <w:style w:type="character" w:customStyle="1" w:styleId="ListParagraphChar">
    <w:name w:val="List Paragraph Char"/>
    <w:basedOn w:val="DefaultParagraphFont"/>
    <w:link w:val="ListParagraph"/>
    <w:uiPriority w:val="34"/>
    <w:rsid w:val="009D2BDE"/>
    <w:rPr>
      <w:rFonts w:ascii="Arial" w:hAnsi="Arial"/>
      <w:sz w:val="20"/>
    </w:rPr>
  </w:style>
  <w:style w:type="character" w:customStyle="1" w:styleId="syledelisteNv1Car">
    <w:name w:val="syledelisteNv1 Car"/>
    <w:basedOn w:val="ListParagraphChar"/>
    <w:rsid w:val="009D2BDE"/>
    <w:rPr>
      <w:rFonts w:ascii="Arial" w:hAnsi="Arial"/>
      <w:sz w:val="20"/>
    </w:rPr>
  </w:style>
  <w:style w:type="table" w:styleId="TableGrid">
    <w:name w:val="Table Grid"/>
    <w:basedOn w:val="TableNormal"/>
    <w:uiPriority w:val="59"/>
    <w:rsid w:val="00C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ledelisteNv1Car1">
    <w:name w:val="syledelisteNv1 Car1"/>
    <w:basedOn w:val="ListParagraphChar"/>
    <w:link w:val="syledelisteNv1"/>
    <w:rsid w:val="00F40C67"/>
    <w:rPr>
      <w:rFonts w:ascii="Arial" w:hAnsi="Arial"/>
      <w:sz w:val="20"/>
    </w:rPr>
  </w:style>
  <w:style w:type="character" w:customStyle="1" w:styleId="StyledelisteTitreCar">
    <w:name w:val="StyledelisteTitre Car"/>
    <w:basedOn w:val="syledelisteNv1Car1"/>
    <w:link w:val="StyledelisteTitre"/>
    <w:rsid w:val="002058A7"/>
    <w:rPr>
      <w:rFonts w:ascii="Arial" w:hAnsi="Arial"/>
      <w:b/>
      <w:sz w:val="20"/>
    </w:rPr>
  </w:style>
  <w:style w:type="table" w:styleId="LightShading-Accent4">
    <w:name w:val="Light Shading Accent 4"/>
    <w:aliases w:val="insuco3"/>
    <w:basedOn w:val="TableGrid"/>
    <w:uiPriority w:val="60"/>
    <w:rsid w:val="00475EE4"/>
    <w:rPr>
      <w:rFonts w:ascii="Arial" w:eastAsia="Calibri" w:hAnsi="Arial" w:cs="Times New Roman"/>
    </w:rPr>
    <w:tblPr>
      <w:tblStyleRowBandSize w:val="1"/>
      <w:tblStyleColBandSize w:val="1"/>
      <w:tblBorders>
        <w:top w:val="single" w:sz="18" w:space="0" w:color="14726E"/>
        <w:left w:val="none" w:sz="0" w:space="0" w:color="auto"/>
        <w:bottom w:val="single" w:sz="18" w:space="0" w:color="14726E"/>
        <w:right w:val="none" w:sz="0" w:space="0" w:color="auto"/>
        <w:insideH w:val="none" w:sz="0" w:space="0" w:color="auto"/>
        <w:insideV w:val="none" w:sz="0" w:space="0" w:color="auto"/>
      </w:tblBorders>
    </w:tblPr>
    <w:tcPr>
      <w:vAlign w:val="center"/>
    </w:tcPr>
    <w:tblStylePr w:type="firstRow">
      <w:pPr>
        <w:wordWrap/>
        <w:spacing w:before="0" w:beforeAutospacing="0" w:afterLines="0" w:afterAutospacing="0" w:line="240" w:lineRule="auto"/>
      </w:pPr>
      <w:rPr>
        <w:b/>
        <w:bCs/>
      </w:rPr>
      <w:tblPr/>
      <w:tcPr>
        <w:tcBorders>
          <w:top w:val="single" w:sz="12" w:space="0" w:color="14726E"/>
          <w:left w:val="nil"/>
          <w:bottom w:val="single" w:sz="12" w:space="0" w:color="14726E"/>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Normaltableau">
    <w:name w:val="Normal tableau"/>
    <w:basedOn w:val="Normal"/>
    <w:link w:val="NormaltableauCar"/>
    <w:locked/>
    <w:rsid w:val="00EC760A"/>
    <w:pPr>
      <w:spacing w:before="120" w:after="120"/>
      <w:jc w:val="left"/>
    </w:pPr>
    <w:rPr>
      <w:rFonts w:eastAsia="Calibri" w:cs="Times New Roman"/>
      <w:szCs w:val="24"/>
      <w:lang w:eastAsia="fr-FR"/>
    </w:rPr>
  </w:style>
  <w:style w:type="character" w:customStyle="1" w:styleId="NormaltableauCar">
    <w:name w:val="Normal tableau Car"/>
    <w:link w:val="Normaltableau"/>
    <w:rsid w:val="00EC760A"/>
    <w:rPr>
      <w:rFonts w:ascii="Arial" w:eastAsia="Calibri" w:hAnsi="Arial" w:cs="Times New Roman"/>
      <w:sz w:val="20"/>
      <w:szCs w:val="24"/>
      <w:lang w:eastAsia="fr-FR"/>
    </w:rPr>
  </w:style>
  <w:style w:type="paragraph" w:customStyle="1" w:styleId="PuceNiveau1">
    <w:name w:val="PuceNiveau1"/>
    <w:basedOn w:val="Normal"/>
    <w:qFormat/>
    <w:rsid w:val="00AF6666"/>
    <w:pPr>
      <w:numPr>
        <w:numId w:val="5"/>
      </w:numPr>
      <w:spacing w:before="120"/>
    </w:pPr>
    <w:rPr>
      <w:rFonts w:eastAsiaTheme="minorEastAsia"/>
      <w:szCs w:val="24"/>
      <w:lang w:eastAsia="ja-JP"/>
    </w:rPr>
  </w:style>
  <w:style w:type="paragraph" w:customStyle="1" w:styleId="styledelisteniv2">
    <w:name w:val="styledelisteniv2"/>
    <w:basedOn w:val="Normal"/>
    <w:next w:val="Normal"/>
    <w:qFormat/>
    <w:rsid w:val="005E7549"/>
    <w:pPr>
      <w:numPr>
        <w:numId w:val="6"/>
      </w:numPr>
      <w:spacing w:after="120"/>
      <w:ind w:left="1066" w:hanging="357"/>
    </w:pPr>
    <w:rPr>
      <w:rFonts w:eastAsiaTheme="minorEastAsia"/>
      <w:szCs w:val="24"/>
      <w:lang w:eastAsia="ja-JP"/>
    </w:rPr>
  </w:style>
  <w:style w:type="paragraph" w:customStyle="1" w:styleId="Pucepourtitre">
    <w:name w:val="Puce pour titre"/>
    <w:basedOn w:val="Normal"/>
    <w:next w:val="Normal"/>
    <w:rsid w:val="00AF6666"/>
    <w:pPr>
      <w:keepNext/>
      <w:numPr>
        <w:ilvl w:val="7"/>
        <w:numId w:val="7"/>
      </w:numPr>
      <w:suppressAutoHyphens/>
      <w:spacing w:before="180" w:after="120"/>
      <w:jc w:val="left"/>
      <w:outlineLvl w:val="4"/>
    </w:pPr>
    <w:rPr>
      <w:rFonts w:cs="Times New Roman"/>
      <w:b/>
      <w:sz w:val="22"/>
      <w:szCs w:val="20"/>
      <w:lang w:eastAsia="fr-FR"/>
    </w:rPr>
  </w:style>
  <w:style w:type="paragraph" w:styleId="Quote">
    <w:name w:val="Quote"/>
    <w:basedOn w:val="Normal"/>
    <w:next w:val="Normal"/>
    <w:link w:val="QuoteChar"/>
    <w:uiPriority w:val="29"/>
    <w:qFormat/>
    <w:rsid w:val="00D1761A"/>
    <w:pPr>
      <w:spacing w:before="120"/>
      <w:jc w:val="center"/>
    </w:pPr>
    <w:rPr>
      <w:rFonts w:eastAsiaTheme="minorEastAsia" w:cs="Arial"/>
      <w:i/>
      <w:lang w:eastAsia="ja-JP"/>
    </w:rPr>
  </w:style>
  <w:style w:type="character" w:customStyle="1" w:styleId="QuoteChar">
    <w:name w:val="Quote Char"/>
    <w:basedOn w:val="DefaultParagraphFont"/>
    <w:link w:val="Quote"/>
    <w:uiPriority w:val="29"/>
    <w:rsid w:val="00D1761A"/>
    <w:rPr>
      <w:rFonts w:ascii="Arial" w:eastAsiaTheme="minorEastAsia" w:hAnsi="Arial" w:cs="Arial"/>
      <w:i/>
      <w:sz w:val="20"/>
      <w:lang w:eastAsia="ja-JP"/>
    </w:rPr>
  </w:style>
  <w:style w:type="paragraph" w:styleId="TOCHeading">
    <w:name w:val="TOC Heading"/>
    <w:basedOn w:val="Heading1"/>
    <w:next w:val="Normal"/>
    <w:uiPriority w:val="39"/>
    <w:semiHidden/>
    <w:unhideWhenUsed/>
    <w:qFormat/>
    <w:rsid w:val="00FF6320"/>
    <w:pPr>
      <w:spacing w:line="276" w:lineRule="auto"/>
      <w:outlineLvl w:val="9"/>
    </w:pPr>
  </w:style>
  <w:style w:type="character" w:styleId="Hyperlink">
    <w:name w:val="Hyperlink"/>
    <w:basedOn w:val="DefaultParagraphFont"/>
    <w:uiPriority w:val="99"/>
    <w:unhideWhenUsed/>
    <w:rsid w:val="00851F8C"/>
    <w:rPr>
      <w:color w:val="0000FF" w:themeColor="hyperlink"/>
      <w:u w:val="single"/>
    </w:rPr>
  </w:style>
  <w:style w:type="paragraph" w:styleId="TOC1">
    <w:name w:val="toc 1"/>
    <w:basedOn w:val="Normal"/>
    <w:next w:val="Normal"/>
    <w:autoRedefine/>
    <w:uiPriority w:val="39"/>
    <w:unhideWhenUsed/>
    <w:qFormat/>
    <w:rsid w:val="00564B3E"/>
    <w:pPr>
      <w:spacing w:after="100"/>
    </w:pPr>
    <w:rPr>
      <w:b/>
      <w:color w:val="00818B"/>
      <w:sz w:val="28"/>
    </w:rPr>
  </w:style>
  <w:style w:type="character" w:customStyle="1" w:styleId="Heading2Char">
    <w:name w:val="Heading 2 Char"/>
    <w:basedOn w:val="DefaultParagraphFont"/>
    <w:link w:val="Heading2"/>
    <w:uiPriority w:val="9"/>
    <w:rsid w:val="003D35AA"/>
    <w:rPr>
      <w:rFonts w:ascii="Arial" w:eastAsiaTheme="majorEastAsia" w:hAnsi="Arial" w:cstheme="majorBidi"/>
      <w:b/>
      <w:bCs/>
      <w:color w:val="00818B"/>
      <w:sz w:val="28"/>
      <w:szCs w:val="26"/>
    </w:rPr>
  </w:style>
  <w:style w:type="character" w:customStyle="1" w:styleId="Heading3Char">
    <w:name w:val="Heading 3 Char"/>
    <w:basedOn w:val="DefaultParagraphFont"/>
    <w:link w:val="Heading3"/>
    <w:uiPriority w:val="9"/>
    <w:rsid w:val="003D35AA"/>
    <w:rPr>
      <w:rFonts w:ascii="Arial" w:eastAsiaTheme="majorEastAsia" w:hAnsi="Arial" w:cstheme="majorBidi"/>
      <w:b/>
      <w:bCs/>
      <w:color w:val="00818B"/>
      <w:sz w:val="24"/>
    </w:rPr>
  </w:style>
  <w:style w:type="character" w:customStyle="1" w:styleId="Heading4Char">
    <w:name w:val="Heading 4 Char"/>
    <w:basedOn w:val="DefaultParagraphFont"/>
    <w:link w:val="Heading4"/>
    <w:uiPriority w:val="9"/>
    <w:rsid w:val="003D35AA"/>
    <w:rPr>
      <w:rFonts w:ascii="Arial Narrow" w:eastAsiaTheme="majorEastAsia" w:hAnsi="Arial Narrow" w:cstheme="majorBidi"/>
      <w:b/>
      <w:bCs/>
      <w:iCs/>
      <w:color w:val="00818B"/>
      <w:sz w:val="24"/>
    </w:rPr>
  </w:style>
  <w:style w:type="paragraph" w:styleId="TableofFigures">
    <w:name w:val="table of figures"/>
    <w:basedOn w:val="Normal"/>
    <w:next w:val="Normal"/>
    <w:autoRedefine/>
    <w:uiPriority w:val="99"/>
    <w:unhideWhenUsed/>
    <w:rsid w:val="00177ACC"/>
    <w:pPr>
      <w:spacing w:before="20" w:after="120"/>
    </w:pPr>
    <w:rPr>
      <w:rFonts w:ascii="Helvetica Narrow" w:eastAsia="Cambria" w:hAnsi="Helvetica Narrow" w:cs="Times New Roman"/>
      <w:color w:val="0099A8"/>
      <w:sz w:val="22"/>
      <w:szCs w:val="24"/>
    </w:rPr>
  </w:style>
  <w:style w:type="paragraph" w:styleId="Caption">
    <w:name w:val="caption"/>
    <w:basedOn w:val="Normal"/>
    <w:next w:val="Normal"/>
    <w:uiPriority w:val="35"/>
    <w:unhideWhenUsed/>
    <w:qFormat/>
    <w:rsid w:val="00A02F39"/>
    <w:pPr>
      <w:spacing w:before="60" w:after="240"/>
      <w:jc w:val="center"/>
    </w:pPr>
    <w:rPr>
      <w:rFonts w:ascii="Arial Narrow" w:hAnsi="Arial Narrow"/>
      <w:bCs/>
      <w:i/>
      <w:color w:val="00818B"/>
      <w:sz w:val="22"/>
      <w:szCs w:val="18"/>
    </w:rPr>
  </w:style>
  <w:style w:type="character" w:customStyle="1" w:styleId="Heading5Char">
    <w:name w:val="Heading 5 Char"/>
    <w:basedOn w:val="DefaultParagraphFont"/>
    <w:link w:val="Heading5"/>
    <w:uiPriority w:val="9"/>
    <w:rsid w:val="003D35AA"/>
    <w:rPr>
      <w:rFonts w:ascii="Arial" w:eastAsiaTheme="majorEastAsia" w:hAnsi="Arial" w:cstheme="majorBidi"/>
      <w:b/>
      <w:color w:val="00818B"/>
    </w:rPr>
  </w:style>
  <w:style w:type="character" w:customStyle="1" w:styleId="Heading6Char">
    <w:name w:val="Heading 6 Char"/>
    <w:basedOn w:val="DefaultParagraphFont"/>
    <w:link w:val="Heading6"/>
    <w:uiPriority w:val="9"/>
    <w:rsid w:val="003D35AA"/>
    <w:rPr>
      <w:rFonts w:ascii="Arial" w:eastAsiaTheme="majorEastAsia" w:hAnsi="Arial" w:cstheme="majorBidi"/>
      <w:b/>
      <w:iCs/>
      <w:color w:val="00818B"/>
      <w:sz w:val="20"/>
    </w:rPr>
  </w:style>
  <w:style w:type="character" w:customStyle="1" w:styleId="Heading7Char">
    <w:name w:val="Heading 7 Char"/>
    <w:basedOn w:val="DefaultParagraphFont"/>
    <w:link w:val="Heading7"/>
    <w:uiPriority w:val="9"/>
    <w:rsid w:val="003D35AA"/>
    <w:rPr>
      <w:rFonts w:ascii="Arial Narrow" w:eastAsiaTheme="majorEastAsia" w:hAnsi="Arial Narrow" w:cstheme="majorBidi"/>
      <w:b/>
      <w:iCs/>
      <w:color w:val="00818B"/>
      <w:sz w:val="20"/>
    </w:rPr>
  </w:style>
  <w:style w:type="character" w:customStyle="1" w:styleId="Heading8Char">
    <w:name w:val="Heading 8 Char"/>
    <w:basedOn w:val="DefaultParagraphFont"/>
    <w:link w:val="Heading8"/>
    <w:uiPriority w:val="9"/>
    <w:semiHidden/>
    <w:rsid w:val="00397F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97FC5"/>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D1761A"/>
    <w:pPr>
      <w:pBdr>
        <w:top w:val="dotted" w:sz="4" w:space="10" w:color="00818B"/>
        <w:bottom w:val="dotted" w:sz="4" w:space="10" w:color="00818B"/>
      </w:pBdr>
      <w:spacing w:before="360" w:after="360"/>
      <w:ind w:left="862" w:right="862"/>
    </w:pPr>
    <w:rPr>
      <w:bCs/>
      <w:i/>
      <w:iCs/>
      <w:color w:val="00818B"/>
    </w:rPr>
  </w:style>
  <w:style w:type="character" w:customStyle="1" w:styleId="IntenseQuoteChar">
    <w:name w:val="Intense Quote Char"/>
    <w:basedOn w:val="DefaultParagraphFont"/>
    <w:link w:val="IntenseQuote"/>
    <w:uiPriority w:val="30"/>
    <w:rsid w:val="00D1761A"/>
    <w:rPr>
      <w:rFonts w:ascii="Arial" w:hAnsi="Arial"/>
      <w:bCs/>
      <w:i/>
      <w:iCs/>
      <w:color w:val="00818B"/>
      <w:sz w:val="20"/>
    </w:rPr>
  </w:style>
  <w:style w:type="paragraph" w:styleId="EndnoteText">
    <w:name w:val="endnote text"/>
    <w:basedOn w:val="Normal"/>
    <w:link w:val="EndnoteTextChar"/>
    <w:uiPriority w:val="99"/>
    <w:semiHidden/>
    <w:unhideWhenUsed/>
    <w:rsid w:val="00DC7450"/>
    <w:pPr>
      <w:spacing w:after="0"/>
    </w:pPr>
    <w:rPr>
      <w:szCs w:val="20"/>
    </w:rPr>
  </w:style>
  <w:style w:type="character" w:customStyle="1" w:styleId="EndnoteTextChar">
    <w:name w:val="Endnote Text Char"/>
    <w:basedOn w:val="DefaultParagraphFont"/>
    <w:link w:val="EndnoteText"/>
    <w:uiPriority w:val="99"/>
    <w:semiHidden/>
    <w:rsid w:val="00DC7450"/>
    <w:rPr>
      <w:rFonts w:ascii="Arial" w:hAnsi="Arial"/>
      <w:sz w:val="20"/>
      <w:szCs w:val="20"/>
    </w:rPr>
  </w:style>
  <w:style w:type="character" w:styleId="EndnoteReference">
    <w:name w:val="endnote reference"/>
    <w:basedOn w:val="DefaultParagraphFont"/>
    <w:uiPriority w:val="99"/>
    <w:semiHidden/>
    <w:unhideWhenUsed/>
    <w:rsid w:val="00DC7450"/>
    <w:rPr>
      <w:vertAlign w:val="superscript"/>
    </w:rPr>
  </w:style>
  <w:style w:type="paragraph" w:styleId="FootnoteText">
    <w:name w:val="footnote text"/>
    <w:basedOn w:val="Normal"/>
    <w:link w:val="FootnoteTextChar"/>
    <w:uiPriority w:val="99"/>
    <w:semiHidden/>
    <w:unhideWhenUsed/>
    <w:rsid w:val="00DC7450"/>
    <w:pPr>
      <w:spacing w:after="0"/>
    </w:pPr>
    <w:rPr>
      <w:szCs w:val="20"/>
    </w:rPr>
  </w:style>
  <w:style w:type="character" w:customStyle="1" w:styleId="FootnoteTextChar">
    <w:name w:val="Footnote Text Char"/>
    <w:basedOn w:val="DefaultParagraphFont"/>
    <w:link w:val="FootnoteText"/>
    <w:uiPriority w:val="99"/>
    <w:semiHidden/>
    <w:rsid w:val="00DC7450"/>
    <w:rPr>
      <w:rFonts w:ascii="Arial" w:hAnsi="Arial"/>
      <w:sz w:val="20"/>
      <w:szCs w:val="20"/>
    </w:rPr>
  </w:style>
  <w:style w:type="character" w:styleId="FootnoteReference">
    <w:name w:val="footnote reference"/>
    <w:basedOn w:val="DefaultParagraphFont"/>
    <w:uiPriority w:val="99"/>
    <w:semiHidden/>
    <w:unhideWhenUsed/>
    <w:rsid w:val="00DC7450"/>
    <w:rPr>
      <w:vertAlign w:val="superscript"/>
    </w:rPr>
  </w:style>
  <w:style w:type="paragraph" w:customStyle="1" w:styleId="sourceillustration">
    <w:name w:val="source illustration"/>
    <w:basedOn w:val="Normal"/>
    <w:next w:val="Normal"/>
    <w:link w:val="sourceillustrationCar"/>
    <w:qFormat/>
    <w:rsid w:val="00472256"/>
    <w:pPr>
      <w:jc w:val="center"/>
    </w:pPr>
    <w:rPr>
      <w:rFonts w:ascii="Arial Narrow" w:hAnsi="Arial Narrow"/>
      <w:i/>
      <w:color w:val="00818B"/>
      <w:sz w:val="18"/>
      <w:lang w:eastAsia="ja-JP"/>
    </w:rPr>
  </w:style>
  <w:style w:type="character" w:customStyle="1" w:styleId="sourceillustrationCar">
    <w:name w:val="source illustration Car"/>
    <w:basedOn w:val="DefaultParagraphFont"/>
    <w:link w:val="sourceillustration"/>
    <w:rsid w:val="00472256"/>
    <w:rPr>
      <w:rFonts w:ascii="Arial Narrow" w:hAnsi="Arial Narrow"/>
      <w:i/>
      <w:color w:val="00818B"/>
      <w:sz w:val="18"/>
      <w:lang w:eastAsia="ja-JP"/>
    </w:rPr>
  </w:style>
  <w:style w:type="paragraph" w:customStyle="1" w:styleId="TblINSUCOp8">
    <w:name w:val="Tbl INSUCO p8"/>
    <w:basedOn w:val="Normal"/>
    <w:qFormat/>
    <w:rsid w:val="006A6926"/>
    <w:pPr>
      <w:framePr w:hSpace="141" w:wrap="around" w:vAnchor="text" w:hAnchor="margin" w:xAlign="center" w:y="95"/>
      <w:spacing w:after="0" w:line="280" w:lineRule="exact"/>
    </w:pPr>
    <w:rPr>
      <w:rFonts w:eastAsiaTheme="minorEastAsia" w:cs="Arial"/>
      <w:sz w:val="16"/>
      <w:szCs w:val="16"/>
      <w:lang w:eastAsia="fr-BE"/>
    </w:rPr>
  </w:style>
  <w:style w:type="paragraph" w:customStyle="1" w:styleId="TexteEncadre">
    <w:name w:val="TexteEncadre"/>
    <w:basedOn w:val="Normal"/>
    <w:qFormat/>
    <w:rsid w:val="00F43460"/>
    <w:pPr>
      <w:spacing w:before="80" w:after="40" w:line="280" w:lineRule="exact"/>
    </w:pPr>
    <w:rPr>
      <w:rFonts w:eastAsiaTheme="minorEastAsia"/>
      <w:szCs w:val="24"/>
      <w:lang w:eastAsia="ja-JP"/>
    </w:rPr>
  </w:style>
  <w:style w:type="paragraph" w:customStyle="1" w:styleId="Titreannexe">
    <w:name w:val="Titre annexe"/>
    <w:basedOn w:val="Normal"/>
    <w:link w:val="TitreannexeCar"/>
    <w:qFormat/>
    <w:rsid w:val="00526856"/>
    <w:rPr>
      <w:b/>
      <w:color w:val="00818B"/>
      <w:sz w:val="28"/>
      <w:lang w:eastAsia="ja-JP"/>
    </w:rPr>
  </w:style>
  <w:style w:type="paragraph" w:styleId="TOC2">
    <w:name w:val="toc 2"/>
    <w:basedOn w:val="Normal"/>
    <w:next w:val="Normal"/>
    <w:autoRedefine/>
    <w:uiPriority w:val="39"/>
    <w:unhideWhenUsed/>
    <w:qFormat/>
    <w:rsid w:val="00564B3E"/>
    <w:pPr>
      <w:spacing w:after="100"/>
    </w:pPr>
    <w:rPr>
      <w:color w:val="00818B"/>
      <w:sz w:val="24"/>
    </w:rPr>
  </w:style>
  <w:style w:type="character" w:customStyle="1" w:styleId="TitreannexeCar">
    <w:name w:val="Titre annexe Car"/>
    <w:basedOn w:val="DefaultParagraphFont"/>
    <w:link w:val="Titreannexe"/>
    <w:rsid w:val="00526856"/>
    <w:rPr>
      <w:rFonts w:ascii="Arial" w:hAnsi="Arial"/>
      <w:b/>
      <w:color w:val="00818B"/>
      <w:sz w:val="28"/>
      <w:lang w:eastAsia="ja-JP"/>
    </w:rPr>
  </w:style>
  <w:style w:type="paragraph" w:styleId="TOC3">
    <w:name w:val="toc 3"/>
    <w:basedOn w:val="Normal"/>
    <w:next w:val="Normal"/>
    <w:autoRedefine/>
    <w:uiPriority w:val="39"/>
    <w:unhideWhenUsed/>
    <w:qFormat/>
    <w:rsid w:val="00564B3E"/>
    <w:pPr>
      <w:spacing w:after="100"/>
    </w:pPr>
    <w:rPr>
      <w:b/>
      <w:color w:val="00818B"/>
    </w:rPr>
  </w:style>
  <w:style w:type="paragraph" w:styleId="TOC4">
    <w:name w:val="toc 4"/>
    <w:basedOn w:val="Normal"/>
    <w:next w:val="Normal"/>
    <w:autoRedefine/>
    <w:uiPriority w:val="39"/>
    <w:unhideWhenUsed/>
    <w:rsid w:val="00564B3E"/>
    <w:pPr>
      <w:spacing w:after="100"/>
    </w:pPr>
    <w:rPr>
      <w:color w:val="00818B"/>
    </w:rPr>
  </w:style>
  <w:style w:type="paragraph" w:styleId="TOC5">
    <w:name w:val="toc 5"/>
    <w:basedOn w:val="Normal"/>
    <w:next w:val="Normal"/>
    <w:autoRedefine/>
    <w:uiPriority w:val="39"/>
    <w:unhideWhenUsed/>
    <w:rsid w:val="00564B3E"/>
    <w:pPr>
      <w:spacing w:after="100"/>
      <w:ind w:left="800"/>
    </w:pPr>
  </w:style>
  <w:style w:type="table" w:customStyle="1" w:styleId="Insuco4">
    <w:name w:val="Insuco4"/>
    <w:basedOn w:val="LightShading-Accent5"/>
    <w:uiPriority w:val="99"/>
    <w:rsid w:val="000A4495"/>
    <w:rPr>
      <w:rFonts w:ascii="Arial" w:hAnsi="Arial"/>
      <w:sz w:val="16"/>
      <w:szCs w:val="20"/>
      <w:lang w:val="en-US" w:eastAsia="fr-FR"/>
    </w:rPr>
    <w:tblPr>
      <w:tblBorders>
        <w:top w:val="single" w:sz="18" w:space="0" w:color="00818B"/>
        <w:bottom w:val="single" w:sz="18" w:space="0" w:color="00818B"/>
      </w:tblBorders>
    </w:tblPr>
    <w:tcPr>
      <w:shd w:val="clear" w:color="auto" w:fill="auto"/>
    </w:tcPr>
    <w:tblStylePr w:type="firstRow">
      <w:pPr>
        <w:spacing w:before="0" w:after="0" w:line="240" w:lineRule="auto"/>
      </w:pPr>
      <w:rPr>
        <w:rFonts w:ascii="Arial" w:hAnsi="Arial"/>
        <w:b/>
        <w:bCs/>
        <w:sz w:val="16"/>
      </w:rPr>
      <w:tblPr/>
      <w:tcPr>
        <w:tcBorders>
          <w:top w:val="single" w:sz="18" w:space="0" w:color="00818B"/>
          <w:left w:val="nil"/>
          <w:bottom w:val="nil"/>
          <w:right w:val="nil"/>
          <w:insideH w:val="nil"/>
          <w:insideV w:val="nil"/>
        </w:tcBorders>
        <w:shd w:val="clear" w:color="auto" w:fill="auto"/>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bottom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5">
    <w:name w:val="Light Shading Accent 5"/>
    <w:basedOn w:val="TableNormal"/>
    <w:uiPriority w:val="60"/>
    <w:rsid w:val="001821F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TblINSUCOp8centr">
    <w:name w:val="Tbl INSUCO p8 centré"/>
    <w:basedOn w:val="TblINSUCOp8"/>
    <w:qFormat/>
    <w:rsid w:val="006A6926"/>
    <w:pPr>
      <w:framePr w:wrap="around"/>
      <w:jc w:val="center"/>
    </w:pPr>
  </w:style>
  <w:style w:type="paragraph" w:customStyle="1" w:styleId="TblINSUCOp10">
    <w:name w:val="Tbl INSUCO p10"/>
    <w:basedOn w:val="TblINSUCOp8centr"/>
    <w:qFormat/>
    <w:rsid w:val="006A6926"/>
    <w:pPr>
      <w:framePr w:wrap="around"/>
      <w:jc w:val="both"/>
    </w:pPr>
    <w:rPr>
      <w:sz w:val="20"/>
    </w:rPr>
  </w:style>
  <w:style w:type="paragraph" w:customStyle="1" w:styleId="TblINSUCOp10centr">
    <w:name w:val="Tbl INSUCO p10 centré"/>
    <w:basedOn w:val="TblINSUCOp10"/>
    <w:qFormat/>
    <w:rsid w:val="006A6926"/>
    <w:pPr>
      <w:framePr w:wrap="around"/>
      <w:jc w:val="center"/>
    </w:pPr>
  </w:style>
  <w:style w:type="paragraph" w:customStyle="1" w:styleId="TblFichedecontroleQ">
    <w:name w:val="Tbl Fiche de controle.Q"/>
    <w:basedOn w:val="Normaltableau"/>
    <w:qFormat/>
    <w:rsid w:val="006A0DB0"/>
    <w:rPr>
      <w:rFonts w:cs="Arial"/>
      <w:sz w:val="22"/>
      <w:szCs w:val="22"/>
    </w:rPr>
  </w:style>
  <w:style w:type="paragraph" w:customStyle="1" w:styleId="NotedebasdepageINSUCO">
    <w:name w:val="Note de bas de page INSUCO"/>
    <w:basedOn w:val="FootnoteText"/>
    <w:qFormat/>
    <w:rsid w:val="005D1A72"/>
    <w:rPr>
      <w:sz w:val="18"/>
    </w:rPr>
  </w:style>
  <w:style w:type="paragraph" w:customStyle="1" w:styleId="bibliographietitredouvrage">
    <w:name w:val="bibliographie_titre d'ouvrage"/>
    <w:basedOn w:val="Normal"/>
    <w:link w:val="bibliographietitredouvrageCar"/>
    <w:qFormat/>
    <w:rsid w:val="001C5EA5"/>
    <w:rPr>
      <w:i/>
      <w:lang w:val="en-US"/>
    </w:rPr>
  </w:style>
  <w:style w:type="character" w:customStyle="1" w:styleId="bibliographietitredouvrageCar">
    <w:name w:val="bibliographie_titre d'ouvrage Car"/>
    <w:basedOn w:val="DefaultParagraphFont"/>
    <w:link w:val="bibliographietitredouvrage"/>
    <w:rsid w:val="001C5EA5"/>
    <w:rPr>
      <w:rFonts w:ascii="Arial" w:hAnsi="Arial"/>
      <w:i/>
      <w:sz w:val="20"/>
      <w:lang w:val="en-US"/>
    </w:rPr>
  </w:style>
  <w:style w:type="paragraph" w:customStyle="1" w:styleId="gras">
    <w:name w:val="gras"/>
    <w:basedOn w:val="Normal"/>
    <w:link w:val="grasCar"/>
    <w:qFormat/>
    <w:rsid w:val="00BB4F1B"/>
    <w:rPr>
      <w:b/>
    </w:rPr>
  </w:style>
  <w:style w:type="character" w:customStyle="1" w:styleId="grasCar">
    <w:name w:val="gras Car"/>
    <w:basedOn w:val="DefaultParagraphFont"/>
    <w:link w:val="gras"/>
    <w:rsid w:val="00BB4F1B"/>
    <w:rPr>
      <w:rFonts w:ascii="Arial" w:hAnsi="Arial"/>
      <w:b/>
      <w:sz w:val="20"/>
    </w:rPr>
  </w:style>
  <w:style w:type="character" w:styleId="PageNumber">
    <w:name w:val="page number"/>
    <w:basedOn w:val="DefaultParagraphFont"/>
    <w:uiPriority w:val="99"/>
    <w:semiHidden/>
    <w:unhideWhenUsed/>
    <w:rsid w:val="00722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4CB53-A7FC-664A-94CB-91CDA5BD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11</Pages>
  <Words>6692</Words>
  <Characters>38149</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jordi.delcasso</dc:creator>
  <cp:lastModifiedBy>Amadou Sy</cp:lastModifiedBy>
  <cp:revision>2</cp:revision>
  <dcterms:created xsi:type="dcterms:W3CDTF">2021-02-12T12:39:00Z</dcterms:created>
  <dcterms:modified xsi:type="dcterms:W3CDTF">2021-02-12T12:39:00Z</dcterms:modified>
</cp:coreProperties>
</file>