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995" w:type="pct"/>
        <w:tblLook w:val="04A0" w:firstRow="1" w:lastRow="0" w:firstColumn="1" w:lastColumn="0" w:noHBand="0" w:noVBand="1"/>
      </w:tblPr>
      <w:tblGrid>
        <w:gridCol w:w="9341"/>
      </w:tblGrid>
      <w:tr w:rsidR="00510B68" w:rsidRPr="004304E4" w14:paraId="43FFB6A8" w14:textId="77777777" w:rsidTr="006931BB">
        <w:tc>
          <w:tcPr>
            <w:tcW w:w="5000" w:type="pct"/>
            <w:shd w:val="clear" w:color="auto" w:fill="E7E6E6" w:themeFill="background2"/>
          </w:tcPr>
          <w:p w14:paraId="2E1DB043" w14:textId="77777777" w:rsidR="00510B68" w:rsidRPr="004304E4" w:rsidRDefault="00510B68" w:rsidP="004304E4">
            <w:pPr>
              <w:spacing w:before="120" w:after="120"/>
              <w:rPr>
                <w:b/>
                <w:sz w:val="28"/>
                <w:szCs w:val="28"/>
              </w:rPr>
            </w:pPr>
            <w:r w:rsidRPr="004304E4">
              <w:rPr>
                <w:b/>
                <w:sz w:val="28"/>
                <w:szCs w:val="28"/>
              </w:rPr>
              <w:t>MEDA &amp; Ugafode, Uganda</w:t>
            </w:r>
          </w:p>
        </w:tc>
      </w:tr>
      <w:tr w:rsidR="00510B68" w14:paraId="4BC392DE" w14:textId="77777777" w:rsidTr="00510B68">
        <w:tc>
          <w:tcPr>
            <w:tcW w:w="5000" w:type="pct"/>
          </w:tcPr>
          <w:p w14:paraId="440F2D56" w14:textId="77777777" w:rsidR="00902C24" w:rsidRPr="00902C24" w:rsidRDefault="00902C24" w:rsidP="00902C24">
            <w:pPr>
              <w:spacing w:before="120" w:after="120"/>
            </w:pPr>
            <w:r w:rsidRPr="00902C24">
              <w:rPr>
                <w:b/>
                <w:bCs/>
                <w:lang w:val="en-ZA"/>
              </w:rPr>
              <w:t xml:space="preserve">MLE Proposal: </w:t>
            </w:r>
            <w:r w:rsidRPr="00902C24">
              <w:rPr>
                <w:lang w:val="en-ZA"/>
              </w:rPr>
              <w:t>To increase access to 80,000 clients in Uganda with innovative, client-driven savings products and services through UGAFODE. MEDA will use an integrated approach building on the strengths of partners that combine with three key innovations: user-centered design research from IDEO.org, behavior marketing from 17 Triggers, and mobile financial services, to take advantage of the growth of Uganda’s technology industry and lower overall costs for the FSP. MEDA will seek to leverage their gender and youth expertise to help UGAFODE increase access to finance for rural women and young people.</w:t>
            </w:r>
          </w:p>
          <w:p w14:paraId="154B2213" w14:textId="77777777" w:rsidR="00902C24" w:rsidRPr="00902C24" w:rsidRDefault="00902C24" w:rsidP="00902C24">
            <w:pPr>
              <w:spacing w:before="120" w:after="120"/>
              <w:rPr>
                <w:lang w:val="en-ZA"/>
              </w:rPr>
            </w:pPr>
            <w:r w:rsidRPr="00902C24">
              <w:rPr>
                <w:b/>
                <w:bCs/>
                <w:lang w:val="en-ZA"/>
              </w:rPr>
              <w:t xml:space="preserve">TSP:  </w:t>
            </w:r>
            <w:r w:rsidRPr="00902C24">
              <w:rPr>
                <w:lang w:val="en-ZA"/>
              </w:rPr>
              <w:t xml:space="preserve">Founded over 60 years ago, the </w:t>
            </w:r>
            <w:r w:rsidRPr="00902C24">
              <w:rPr>
                <w:b/>
                <w:bCs/>
                <w:lang w:val="en-ZA"/>
              </w:rPr>
              <w:t xml:space="preserve">Mennonite Economic Development Associates (MEDA) </w:t>
            </w:r>
            <w:r w:rsidRPr="00902C24">
              <w:rPr>
                <w:lang w:val="en-ZA"/>
              </w:rPr>
              <w:t>has established itself as a leader in the areas of financial services, market linkages, and impact investing, while specializing in 6 areas of focus within these broad groupings, including women’s economic development, agriculture, financial services and mobile money, youth, SMEs, and health supply chains.</w:t>
            </w:r>
          </w:p>
          <w:p w14:paraId="7E66E09B" w14:textId="77777777" w:rsidR="00510B68" w:rsidRPr="00902C24" w:rsidRDefault="00902C24" w:rsidP="00902C24">
            <w:pPr>
              <w:spacing w:before="120" w:after="120"/>
            </w:pPr>
            <w:r w:rsidRPr="00902C24">
              <w:rPr>
                <w:b/>
                <w:bCs/>
                <w:lang w:val="en-ZA"/>
              </w:rPr>
              <w:t xml:space="preserve">FSP: </w:t>
            </w:r>
            <w:r w:rsidRPr="00902C24">
              <w:rPr>
                <w:lang w:val="en-ZA"/>
              </w:rPr>
              <w:t xml:space="preserve">Founded in 1995, </w:t>
            </w:r>
            <w:r w:rsidRPr="00902C24">
              <w:rPr>
                <w:b/>
                <w:bCs/>
                <w:lang w:val="en-ZA"/>
              </w:rPr>
              <w:t>UGAFODE</w:t>
            </w:r>
            <w:r w:rsidRPr="00902C24">
              <w:rPr>
                <w:lang w:val="en-ZA"/>
              </w:rPr>
              <w:t xml:space="preserve"> Microfinance Limited is a regulated deposit-taking microfinance institution that is serving the rural and economically active poor. With both individual and group lending already in place, UGAFODE received its license to launch deposits in 2011, one of only 4 microfinance institutions licensed to take deposits in </w:t>
            </w:r>
            <w:r w:rsidRPr="00902C24">
              <w:t xml:space="preserve">Uganda. It </w:t>
            </w:r>
            <w:r w:rsidRPr="00902C24">
              <w:rPr>
                <w:lang w:val="en-ZA"/>
              </w:rPr>
              <w:t xml:space="preserve">currently has 9 branches in Uganda, mainly focused in the major commercial centers in </w:t>
            </w:r>
            <w:r w:rsidRPr="00902C24">
              <w:t>Kampala, Mpigi, Kyotera, Lyantonde, Mbarara, Ishaka, Ntungamo, Ibanda and Rukungiri.</w:t>
            </w:r>
          </w:p>
        </w:tc>
      </w:tr>
      <w:tr w:rsidR="00A116C9" w:rsidRPr="004304E4" w14:paraId="222D43C1" w14:textId="77777777" w:rsidTr="006931BB">
        <w:tc>
          <w:tcPr>
            <w:tcW w:w="5000" w:type="pct"/>
            <w:shd w:val="clear" w:color="auto" w:fill="F2F2F2" w:themeFill="background1" w:themeFillShade="F2"/>
          </w:tcPr>
          <w:p w14:paraId="28E63288" w14:textId="77777777" w:rsidR="00A116C9" w:rsidRPr="004304E4" w:rsidRDefault="00A116C9" w:rsidP="004304E4">
            <w:pPr>
              <w:spacing w:before="120" w:after="120"/>
              <w:ind w:left="720"/>
              <w:rPr>
                <w:b/>
                <w:lang w:val="en-ZA"/>
              </w:rPr>
            </w:pPr>
            <w:r w:rsidRPr="004304E4">
              <w:rPr>
                <w:b/>
                <w:lang w:val="en-ZA"/>
              </w:rPr>
              <w:t>Project Potential Learnings</w:t>
            </w:r>
          </w:p>
        </w:tc>
      </w:tr>
      <w:tr w:rsidR="00510B68" w14:paraId="3D002126" w14:textId="77777777" w:rsidTr="00510B68">
        <w:tc>
          <w:tcPr>
            <w:tcW w:w="5000" w:type="pct"/>
          </w:tcPr>
          <w:p w14:paraId="3D8D0D5E" w14:textId="77777777" w:rsidR="00902C24" w:rsidRPr="00902C24" w:rsidRDefault="00902C24" w:rsidP="00FC342E">
            <w:pPr>
              <w:pStyle w:val="ListParagraph"/>
              <w:numPr>
                <w:ilvl w:val="0"/>
                <w:numId w:val="9"/>
              </w:numPr>
              <w:spacing w:before="120" w:after="120"/>
              <w:ind w:left="714" w:hanging="357"/>
              <w:contextualSpacing w:val="0"/>
            </w:pPr>
            <w:r w:rsidRPr="00902C24">
              <w:rPr>
                <w:u w:val="single"/>
                <w:lang w:val="en-ZA"/>
              </w:rPr>
              <w:t>Technology</w:t>
            </w:r>
            <w:r w:rsidRPr="00902C24">
              <w:rPr>
                <w:lang w:val="en-ZA"/>
              </w:rPr>
              <w:t>:  Mobile banking,  MIS development and adaptation, impact on operational costs</w:t>
            </w:r>
          </w:p>
          <w:p w14:paraId="6746A936" w14:textId="77777777" w:rsidR="00902C24" w:rsidRPr="00902C24" w:rsidRDefault="00902C24" w:rsidP="00FC342E">
            <w:pPr>
              <w:pStyle w:val="ListParagraph"/>
              <w:numPr>
                <w:ilvl w:val="0"/>
                <w:numId w:val="9"/>
              </w:numPr>
              <w:spacing w:before="120" w:after="120"/>
              <w:contextualSpacing w:val="0"/>
            </w:pPr>
            <w:r w:rsidRPr="00902C24">
              <w:rPr>
                <w:u w:val="single"/>
                <w:lang w:val="en-ZA"/>
              </w:rPr>
              <w:t>Non-fin’l Svcs</w:t>
            </w:r>
            <w:r w:rsidRPr="00902C24">
              <w:rPr>
                <w:lang w:val="en-ZA"/>
              </w:rPr>
              <w:t>: integrate financial education messages into marketing. Cross-cutting themes on targeting gender, youth, consumer protection and risk management integrated into TA</w:t>
            </w:r>
          </w:p>
          <w:p w14:paraId="1CD66332" w14:textId="77777777" w:rsidR="00902C24" w:rsidRPr="00902C24" w:rsidRDefault="00902C24" w:rsidP="00FC342E">
            <w:pPr>
              <w:pStyle w:val="ListParagraph"/>
              <w:numPr>
                <w:ilvl w:val="0"/>
                <w:numId w:val="9"/>
              </w:numPr>
              <w:spacing w:before="120" w:after="120"/>
              <w:contextualSpacing w:val="0"/>
              <w:rPr>
                <w:lang w:val="en-ZA"/>
              </w:rPr>
            </w:pPr>
            <w:r w:rsidRPr="00902C24">
              <w:rPr>
                <w:u w:val="single"/>
                <w:lang w:val="en-ZA"/>
              </w:rPr>
              <w:t>Learning potential</w:t>
            </w:r>
            <w:r w:rsidRPr="00902C24">
              <w:rPr>
                <w:lang w:val="en-ZA"/>
              </w:rPr>
              <w:t>: savings strategies for mid-sized FSP, developed through commercial marketing approach, mobile banking, impact of tailored savings communication , rural outreach through alternative delivery channels</w:t>
            </w:r>
          </w:p>
          <w:p w14:paraId="67A84230" w14:textId="77777777" w:rsidR="00510B68" w:rsidRPr="00902C24" w:rsidRDefault="00902C24" w:rsidP="00FC342E">
            <w:pPr>
              <w:pStyle w:val="ListParagraph"/>
              <w:numPr>
                <w:ilvl w:val="0"/>
                <w:numId w:val="9"/>
              </w:numPr>
              <w:spacing w:before="120" w:after="120"/>
              <w:contextualSpacing w:val="0"/>
            </w:pPr>
            <w:r w:rsidRPr="00902C24">
              <w:rPr>
                <w:u w:val="single"/>
                <w:lang w:val="en-ZA"/>
              </w:rPr>
              <w:t>Other:</w:t>
            </w:r>
            <w:r w:rsidRPr="00902C24">
              <w:rPr>
                <w:lang w:val="en-ZA"/>
              </w:rPr>
              <w:t>  use of private sector firms for market research and communication; connecting informal savings groups to the formal financial sector</w:t>
            </w:r>
          </w:p>
        </w:tc>
      </w:tr>
      <w:tr w:rsidR="00AA0F59" w:rsidRPr="004304E4" w14:paraId="5008FBF2" w14:textId="77777777" w:rsidTr="006931BB">
        <w:tc>
          <w:tcPr>
            <w:tcW w:w="5000" w:type="pct"/>
            <w:shd w:val="clear" w:color="auto" w:fill="E7E6E6" w:themeFill="background2"/>
          </w:tcPr>
          <w:p w14:paraId="4904965B" w14:textId="77777777" w:rsidR="00AA0F59" w:rsidRPr="004304E4" w:rsidRDefault="006600A3" w:rsidP="004304E4">
            <w:pPr>
              <w:spacing w:before="120" w:after="120"/>
              <w:rPr>
                <w:b/>
                <w:bCs/>
                <w:sz w:val="28"/>
                <w:szCs w:val="28"/>
                <w:lang w:val="en-ZA"/>
              </w:rPr>
            </w:pPr>
            <w:r w:rsidRPr="004304E4">
              <w:rPr>
                <w:b/>
                <w:bCs/>
                <w:sz w:val="28"/>
                <w:szCs w:val="28"/>
                <w:lang w:val="en-ZA"/>
              </w:rPr>
              <w:t>World Council of Cre</w:t>
            </w:r>
            <w:r w:rsidR="00AE10B7">
              <w:rPr>
                <w:b/>
                <w:bCs/>
                <w:sz w:val="28"/>
                <w:szCs w:val="28"/>
                <w:lang w:val="en-ZA"/>
              </w:rPr>
              <w:t>dit Unions (World Council) &amp; Umu</w:t>
            </w:r>
            <w:r w:rsidRPr="004304E4">
              <w:rPr>
                <w:b/>
                <w:bCs/>
                <w:sz w:val="28"/>
                <w:szCs w:val="28"/>
                <w:lang w:val="en-ZA"/>
              </w:rPr>
              <w:t>reng</w:t>
            </w:r>
            <w:r w:rsidR="00AA0F59" w:rsidRPr="004304E4">
              <w:rPr>
                <w:b/>
                <w:bCs/>
                <w:sz w:val="28"/>
                <w:szCs w:val="28"/>
                <w:lang w:val="en-ZA"/>
              </w:rPr>
              <w:t>e SACCOs, Rwanda</w:t>
            </w:r>
          </w:p>
        </w:tc>
      </w:tr>
      <w:tr w:rsidR="00510B68" w14:paraId="512775A3" w14:textId="77777777" w:rsidTr="00510B68">
        <w:tc>
          <w:tcPr>
            <w:tcW w:w="5000" w:type="pct"/>
          </w:tcPr>
          <w:p w14:paraId="03B6596C" w14:textId="77777777" w:rsidR="006600A3" w:rsidRDefault="006600A3" w:rsidP="004304E4">
            <w:pPr>
              <w:spacing w:before="120" w:after="120"/>
            </w:pPr>
            <w:r>
              <w:rPr>
                <w:b/>
                <w:bCs/>
                <w:lang w:val="en-ZA"/>
              </w:rPr>
              <w:t xml:space="preserve">MLE Proposal: </w:t>
            </w:r>
            <w:r w:rsidRPr="006600A3">
              <w:rPr>
                <w:lang w:val="en-ZA"/>
              </w:rPr>
              <w:t xml:space="preserve">World Council proposes to provide technical assistance to 90 Umurenge SACCOs (U-SACCOs) in order to accelerate the growth in access of rural and low income populations to financial </w:t>
            </w:r>
            <w:r w:rsidRPr="006600A3">
              <w:t xml:space="preserve">services, particularly savings accounts. World Council will </w:t>
            </w:r>
            <w:r w:rsidRPr="006600A3">
              <w:rPr>
                <w:lang w:val="en-ZA"/>
              </w:rPr>
              <w:t>support the Government of Rwanda’s (GOR) objective to create a cooperative bank with the U-SACCOs as shareholders and affiliates leading the U-SACCO to financial independence from GOR subsidies while continuing to provide economic stimulus in rural areas.</w:t>
            </w:r>
          </w:p>
          <w:p w14:paraId="059123EF" w14:textId="77777777" w:rsidR="006600A3" w:rsidRDefault="006600A3" w:rsidP="004304E4">
            <w:pPr>
              <w:spacing w:before="120" w:after="120"/>
            </w:pPr>
            <w:r>
              <w:rPr>
                <w:b/>
                <w:bCs/>
                <w:lang w:val="en-ZA"/>
              </w:rPr>
              <w:t xml:space="preserve">TSP: </w:t>
            </w:r>
            <w:r w:rsidRPr="006600A3">
              <w:rPr>
                <w:b/>
                <w:bCs/>
                <w:lang w:val="en-ZA"/>
              </w:rPr>
              <w:t>World Council</w:t>
            </w:r>
            <w:r w:rsidRPr="006600A3">
              <w:rPr>
                <w:lang w:val="en-ZA"/>
              </w:rPr>
              <w:t xml:space="preserve"> </w:t>
            </w:r>
            <w:r>
              <w:rPr>
                <w:lang w:val="en-ZA"/>
              </w:rPr>
              <w:t xml:space="preserve">is the leading international trade association and development agency for credit unions, savings and credit cooperatives, and similar types of cooperatively-owned financial </w:t>
            </w:r>
            <w:r>
              <w:rPr>
                <w:lang w:val="en-ZA"/>
              </w:rPr>
              <w:lastRenderedPageBreak/>
              <w:t xml:space="preserve">institutions. Since 1971 it has implemented more than 275 long- and short-term </w:t>
            </w:r>
            <w:r>
              <w:t>technical assistance programs in Africa, Latin America and Asia.  Emphasis is on savings mobilization.</w:t>
            </w:r>
          </w:p>
          <w:p w14:paraId="2C1C34EF" w14:textId="77777777" w:rsidR="00510B68" w:rsidRDefault="006600A3" w:rsidP="004304E4">
            <w:pPr>
              <w:spacing w:before="120" w:after="120"/>
            </w:pPr>
            <w:r>
              <w:rPr>
                <w:b/>
                <w:bCs/>
                <w:lang w:val="en-ZA"/>
              </w:rPr>
              <w:t xml:space="preserve">FSP: </w:t>
            </w:r>
            <w:r>
              <w:rPr>
                <w:lang w:val="en-ZA"/>
              </w:rPr>
              <w:t xml:space="preserve">The </w:t>
            </w:r>
            <w:r>
              <w:rPr>
                <w:b/>
                <w:bCs/>
                <w:lang w:val="en-ZA"/>
              </w:rPr>
              <w:t>U</w:t>
            </w:r>
            <w:r>
              <w:rPr>
                <w:b/>
                <w:bCs/>
                <w:color w:val="1F497D"/>
                <w:lang w:val="en-ZA"/>
              </w:rPr>
              <w:t>-</w:t>
            </w:r>
            <w:r>
              <w:rPr>
                <w:b/>
                <w:bCs/>
                <w:lang w:val="en-ZA"/>
              </w:rPr>
              <w:t>SACCOs</w:t>
            </w:r>
            <w:r>
              <w:rPr>
                <w:lang w:val="en-ZA"/>
              </w:rPr>
              <w:t xml:space="preserve"> were put into operation in 2009 as the result of a coordinated strategy by the GOR to satisfy unmet demand for financial services, principally in rural areas. There are 416 </w:t>
            </w:r>
            <w:r w:rsidR="00AE10B7">
              <w:rPr>
                <w:iCs/>
                <w:lang w:val="en-ZA"/>
              </w:rPr>
              <w:t>Umu</w:t>
            </w:r>
            <w:r w:rsidRPr="007B7D49">
              <w:rPr>
                <w:iCs/>
                <w:lang w:val="en-ZA"/>
              </w:rPr>
              <w:t>renges,</w:t>
            </w:r>
            <w:r>
              <w:rPr>
                <w:i/>
                <w:iCs/>
                <w:lang w:val="en-ZA"/>
              </w:rPr>
              <w:t xml:space="preserve"> </w:t>
            </w:r>
            <w:r>
              <w:rPr>
                <w:lang w:val="en-ZA"/>
              </w:rPr>
              <w:t>or sectors, in Rwanda, each with a population of approximately 12,000 adults. Therefore, with the creation of one SACCO in each sector, the government has guaranteed proximity of financial services. The goal of the GOR is for these entities to become financially independent and sustainable in order to achieve full financial inclusion for the underserved Rwandan population.</w:t>
            </w:r>
          </w:p>
        </w:tc>
      </w:tr>
      <w:tr w:rsidR="004D0962" w:rsidRPr="004304E4" w14:paraId="252EEADF" w14:textId="77777777" w:rsidTr="006931BB">
        <w:tc>
          <w:tcPr>
            <w:tcW w:w="5000" w:type="pct"/>
            <w:shd w:val="clear" w:color="auto" w:fill="F2F2F2" w:themeFill="background1" w:themeFillShade="F2"/>
          </w:tcPr>
          <w:p w14:paraId="71D8CC9F" w14:textId="77777777" w:rsidR="004D0962" w:rsidRPr="004304E4" w:rsidRDefault="004D0962" w:rsidP="004304E4">
            <w:pPr>
              <w:spacing w:before="120" w:after="120"/>
              <w:ind w:left="720"/>
              <w:rPr>
                <w:b/>
                <w:lang w:val="en-ZA"/>
              </w:rPr>
            </w:pPr>
            <w:r w:rsidRPr="004304E4">
              <w:rPr>
                <w:b/>
                <w:lang w:val="en-ZA"/>
              </w:rPr>
              <w:lastRenderedPageBreak/>
              <w:t>Project Potential Learnings</w:t>
            </w:r>
          </w:p>
        </w:tc>
      </w:tr>
      <w:tr w:rsidR="00510B68" w14:paraId="4125B376" w14:textId="77777777" w:rsidTr="00510B68">
        <w:tc>
          <w:tcPr>
            <w:tcW w:w="5000" w:type="pct"/>
          </w:tcPr>
          <w:p w14:paraId="13F53146" w14:textId="77777777" w:rsidR="00372BA2" w:rsidRPr="00D3379F" w:rsidRDefault="00D5775E" w:rsidP="004304E4">
            <w:pPr>
              <w:numPr>
                <w:ilvl w:val="0"/>
                <w:numId w:val="2"/>
              </w:numPr>
              <w:spacing w:before="120" w:after="120"/>
            </w:pPr>
            <w:r w:rsidRPr="00D3379F">
              <w:rPr>
                <w:u w:val="single"/>
                <w:lang w:val="en-ZA"/>
              </w:rPr>
              <w:t>Technology</w:t>
            </w:r>
            <w:r w:rsidR="007B7D49">
              <w:rPr>
                <w:lang w:val="en-ZA"/>
              </w:rPr>
              <w:t>: MIS for U-</w:t>
            </w:r>
            <w:r w:rsidRPr="00D3379F">
              <w:rPr>
                <w:lang w:val="en-ZA"/>
              </w:rPr>
              <w:t>SACCOs, designed with mobile money potential</w:t>
            </w:r>
          </w:p>
          <w:p w14:paraId="4070101D" w14:textId="77777777" w:rsidR="00372BA2" w:rsidRPr="00D3379F" w:rsidRDefault="00D5775E" w:rsidP="004304E4">
            <w:pPr>
              <w:numPr>
                <w:ilvl w:val="0"/>
                <w:numId w:val="2"/>
              </w:numPr>
              <w:spacing w:before="120" w:after="120"/>
            </w:pPr>
            <w:r w:rsidRPr="00D3379F">
              <w:rPr>
                <w:u w:val="single"/>
                <w:lang w:val="en-ZA"/>
              </w:rPr>
              <w:t xml:space="preserve">Non-fin’l Svcs: </w:t>
            </w:r>
            <w:r w:rsidRPr="00D3379F">
              <w:rPr>
                <w:lang w:val="en-ZA"/>
              </w:rPr>
              <w:t xml:space="preserve">financial literacy training for SACCOs </w:t>
            </w:r>
            <w:r w:rsidR="00D3379F">
              <w:rPr>
                <w:lang w:val="en-ZA"/>
              </w:rPr>
              <w:t xml:space="preserve">to be used for </w:t>
            </w:r>
            <w:r w:rsidRPr="00D3379F">
              <w:rPr>
                <w:lang w:val="en-ZA"/>
              </w:rPr>
              <w:t>train</w:t>
            </w:r>
            <w:r w:rsidR="00D3379F">
              <w:rPr>
                <w:lang w:val="en-ZA"/>
              </w:rPr>
              <w:t>ing of</w:t>
            </w:r>
            <w:r w:rsidRPr="00D3379F">
              <w:rPr>
                <w:lang w:val="en-ZA"/>
              </w:rPr>
              <w:t xml:space="preserve"> members</w:t>
            </w:r>
          </w:p>
          <w:p w14:paraId="2626FF87" w14:textId="77777777" w:rsidR="00510B68" w:rsidRDefault="00D5775E" w:rsidP="004304E4">
            <w:pPr>
              <w:numPr>
                <w:ilvl w:val="0"/>
                <w:numId w:val="2"/>
              </w:numPr>
              <w:spacing w:before="120" w:after="120"/>
            </w:pPr>
            <w:r w:rsidRPr="00D3379F">
              <w:rPr>
                <w:u w:val="single"/>
                <w:lang w:val="en-ZA"/>
              </w:rPr>
              <w:t>Learning Potential</w:t>
            </w:r>
            <w:r w:rsidRPr="00D3379F">
              <w:rPr>
                <w:lang w:val="en-ZA"/>
              </w:rPr>
              <w:t>: Sectoral learning (</w:t>
            </w:r>
            <w:r w:rsidR="00D3379F">
              <w:rPr>
                <w:lang w:val="en-ZA"/>
              </w:rPr>
              <w:t xml:space="preserve">harmonization of </w:t>
            </w:r>
            <w:r w:rsidRPr="00D3379F">
              <w:rPr>
                <w:lang w:val="en-ZA"/>
              </w:rPr>
              <w:t>policies, software</w:t>
            </w:r>
            <w:r w:rsidR="00D3379F">
              <w:rPr>
                <w:lang w:val="en-ZA"/>
              </w:rPr>
              <w:t>, shares</w:t>
            </w:r>
            <w:r w:rsidRPr="00D3379F">
              <w:rPr>
                <w:lang w:val="en-ZA"/>
              </w:rPr>
              <w:t xml:space="preserve">), </w:t>
            </w:r>
            <w:r w:rsidR="00D3379F">
              <w:rPr>
                <w:lang w:val="en-ZA"/>
              </w:rPr>
              <w:t>creation of a cooperative bank through U-SACCOS, upgrading of rural</w:t>
            </w:r>
            <w:r w:rsidRPr="00D3379F">
              <w:rPr>
                <w:lang w:val="en-ZA"/>
              </w:rPr>
              <w:t xml:space="preserve"> U_SACCOs </w:t>
            </w:r>
          </w:p>
        </w:tc>
      </w:tr>
      <w:tr w:rsidR="00510B68" w:rsidRPr="004304E4" w14:paraId="06975FC6" w14:textId="77777777" w:rsidTr="006931BB">
        <w:tc>
          <w:tcPr>
            <w:tcW w:w="5000" w:type="pct"/>
            <w:shd w:val="clear" w:color="auto" w:fill="E7E6E6" w:themeFill="background2"/>
          </w:tcPr>
          <w:p w14:paraId="5E629267" w14:textId="77777777" w:rsidR="00510B68" w:rsidRPr="004304E4" w:rsidRDefault="006600A3" w:rsidP="004304E4">
            <w:pPr>
              <w:spacing w:before="120" w:after="120"/>
              <w:rPr>
                <w:b/>
                <w:sz w:val="28"/>
                <w:szCs w:val="28"/>
              </w:rPr>
            </w:pPr>
            <w:r w:rsidRPr="004304E4">
              <w:rPr>
                <w:b/>
                <w:bCs/>
                <w:sz w:val="28"/>
                <w:szCs w:val="28"/>
                <w:lang w:val="en-ZA"/>
              </w:rPr>
              <w:t>World Council of Credit Unions (World Council)</w:t>
            </w:r>
            <w:r w:rsidR="005660A9" w:rsidRPr="004304E4">
              <w:rPr>
                <w:b/>
                <w:sz w:val="28"/>
                <w:szCs w:val="28"/>
              </w:rPr>
              <w:t>, LCUNA &amp; 4 new credit unions, Liberia</w:t>
            </w:r>
          </w:p>
        </w:tc>
      </w:tr>
      <w:tr w:rsidR="00510B68" w14:paraId="6813238F" w14:textId="77777777" w:rsidTr="00510B68">
        <w:tc>
          <w:tcPr>
            <w:tcW w:w="5000" w:type="pct"/>
          </w:tcPr>
          <w:tbl>
            <w:tblPr>
              <w:tblW w:w="0" w:type="auto"/>
              <w:tblBorders>
                <w:top w:val="nil"/>
                <w:left w:val="nil"/>
                <w:bottom w:val="nil"/>
                <w:right w:val="nil"/>
              </w:tblBorders>
              <w:tblLook w:val="0000" w:firstRow="0" w:lastRow="0" w:firstColumn="0" w:lastColumn="0" w:noHBand="0" w:noVBand="0"/>
            </w:tblPr>
            <w:tblGrid>
              <w:gridCol w:w="9125"/>
            </w:tblGrid>
            <w:tr w:rsidR="005660A9" w14:paraId="708B5433" w14:textId="77777777">
              <w:trPr>
                <w:trHeight w:val="1560"/>
              </w:trPr>
              <w:tc>
                <w:tcPr>
                  <w:tcW w:w="0" w:type="auto"/>
                </w:tcPr>
                <w:p w14:paraId="7841E70C" w14:textId="77777777" w:rsidR="005660A9" w:rsidRPr="006600A3" w:rsidRDefault="005660A9" w:rsidP="004304E4">
                  <w:pPr>
                    <w:pStyle w:val="Default"/>
                    <w:spacing w:before="120" w:after="120"/>
                    <w:rPr>
                      <w:sz w:val="22"/>
                      <w:szCs w:val="22"/>
                    </w:rPr>
                  </w:pPr>
                  <w:r w:rsidRPr="006600A3">
                    <w:rPr>
                      <w:b/>
                      <w:bCs/>
                      <w:sz w:val="22"/>
                      <w:szCs w:val="22"/>
                    </w:rPr>
                    <w:t xml:space="preserve">Proposal: </w:t>
                  </w:r>
                  <w:r w:rsidRPr="006600A3">
                    <w:rPr>
                      <w:sz w:val="22"/>
                      <w:szCs w:val="22"/>
                    </w:rPr>
                    <w:t xml:space="preserve">The objective of the project is to revitalize the credit union movement and expand savings opportunities to the unbanked population of Liberia. </w:t>
                  </w:r>
                  <w:r w:rsidR="006600A3" w:rsidRPr="006600A3">
                    <w:rPr>
                      <w:sz w:val="22"/>
                      <w:szCs w:val="22"/>
                    </w:rPr>
                    <w:t>World Council</w:t>
                  </w:r>
                  <w:r w:rsidRPr="006600A3">
                    <w:rPr>
                      <w:sz w:val="22"/>
                      <w:szCs w:val="22"/>
                    </w:rPr>
                    <w:t xml:space="preserve">, as TSP, will achieve this objective by capacity building the recently re-established apex, LCUNA, and establishing four new credit unions, each covering a quadrant of the country. </w:t>
                  </w:r>
                </w:p>
                <w:p w14:paraId="1349B970" w14:textId="77777777" w:rsidR="005660A9" w:rsidRPr="006600A3" w:rsidRDefault="005660A9" w:rsidP="004304E4">
                  <w:pPr>
                    <w:pStyle w:val="Default"/>
                    <w:spacing w:before="120" w:after="120"/>
                    <w:rPr>
                      <w:sz w:val="22"/>
                      <w:szCs w:val="22"/>
                    </w:rPr>
                  </w:pPr>
                  <w:r w:rsidRPr="006600A3">
                    <w:rPr>
                      <w:b/>
                      <w:bCs/>
                      <w:sz w:val="22"/>
                      <w:szCs w:val="22"/>
                    </w:rPr>
                    <w:t xml:space="preserve">TSP: </w:t>
                  </w:r>
                  <w:r w:rsidR="006600A3" w:rsidRPr="006600A3">
                    <w:rPr>
                      <w:b/>
                      <w:sz w:val="22"/>
                      <w:szCs w:val="22"/>
                    </w:rPr>
                    <w:t>World Council</w:t>
                  </w:r>
                  <w:r w:rsidRPr="006600A3">
                    <w:rPr>
                      <w:sz w:val="22"/>
                      <w:szCs w:val="22"/>
                    </w:rPr>
                    <w:t xml:space="preserve"> is the leading international trade association and development agency for credit unions, savings and credit cooperatives, and similar types of cooperatively-owned financial institutions. Since 1971 it has implemented more than 275 long- and short-term technical assistance programs in Africa, Latin America and Asia</w:t>
                  </w:r>
                  <w:r w:rsidR="00395370">
                    <w:rPr>
                      <w:sz w:val="22"/>
                      <w:szCs w:val="22"/>
                    </w:rPr>
                    <w:t>.</w:t>
                  </w:r>
                  <w:r w:rsidRPr="006600A3">
                    <w:rPr>
                      <w:sz w:val="22"/>
                      <w:szCs w:val="22"/>
                    </w:rPr>
                    <w:t xml:space="preserve"> </w:t>
                  </w:r>
                </w:p>
                <w:p w14:paraId="0E5BBDC1" w14:textId="77777777" w:rsidR="005660A9" w:rsidRPr="006600A3" w:rsidRDefault="005660A9" w:rsidP="004304E4">
                  <w:pPr>
                    <w:pStyle w:val="Default"/>
                    <w:spacing w:before="120" w:after="120"/>
                    <w:rPr>
                      <w:sz w:val="22"/>
                      <w:szCs w:val="22"/>
                    </w:rPr>
                  </w:pPr>
                  <w:r w:rsidRPr="006600A3">
                    <w:rPr>
                      <w:b/>
                      <w:bCs/>
                      <w:sz w:val="22"/>
                      <w:szCs w:val="22"/>
                    </w:rPr>
                    <w:t xml:space="preserve">Partner: </w:t>
                  </w:r>
                  <w:r w:rsidRPr="006600A3">
                    <w:rPr>
                      <w:sz w:val="22"/>
                      <w:szCs w:val="22"/>
                    </w:rPr>
                    <w:t xml:space="preserve">The </w:t>
                  </w:r>
                  <w:r w:rsidRPr="006600A3">
                    <w:rPr>
                      <w:b/>
                      <w:sz w:val="22"/>
                      <w:szCs w:val="22"/>
                    </w:rPr>
                    <w:t>Liberian Credit Union National Association (LCUNA</w:t>
                  </w:r>
                  <w:r w:rsidRPr="006600A3">
                    <w:rPr>
                      <w:sz w:val="22"/>
                      <w:szCs w:val="22"/>
                    </w:rPr>
                    <w:t xml:space="preserve">) is the national credit union association, registered with the government in 1973 (and again in 2005 with the Ministry of Planning and Economic Affairs). Four new CUs will be established with WOCCU support. </w:t>
                  </w:r>
                </w:p>
              </w:tc>
            </w:tr>
          </w:tbl>
          <w:p w14:paraId="2C2A267C" w14:textId="77777777" w:rsidR="00510B68" w:rsidRDefault="00510B68" w:rsidP="004304E4">
            <w:pPr>
              <w:spacing w:before="120" w:after="120"/>
            </w:pPr>
          </w:p>
        </w:tc>
      </w:tr>
      <w:tr w:rsidR="006931BB" w:rsidRPr="004304E4" w14:paraId="04482310" w14:textId="77777777" w:rsidTr="006931BB">
        <w:tc>
          <w:tcPr>
            <w:tcW w:w="5000" w:type="pct"/>
            <w:shd w:val="clear" w:color="auto" w:fill="F2F2F2" w:themeFill="background1" w:themeFillShade="F2"/>
          </w:tcPr>
          <w:p w14:paraId="41480DD9" w14:textId="77777777" w:rsidR="006931BB" w:rsidRPr="004304E4" w:rsidRDefault="006931BB" w:rsidP="004304E4">
            <w:pPr>
              <w:spacing w:before="120" w:after="120"/>
              <w:ind w:left="720"/>
              <w:rPr>
                <w:b/>
                <w:lang w:val="en-ZA"/>
              </w:rPr>
            </w:pPr>
            <w:r w:rsidRPr="004304E4">
              <w:rPr>
                <w:b/>
                <w:lang w:val="en-ZA"/>
              </w:rPr>
              <w:t>Project Potential Learnings</w:t>
            </w:r>
          </w:p>
        </w:tc>
      </w:tr>
      <w:tr w:rsidR="00510B68" w:rsidRPr="00363573" w14:paraId="7BB5B634" w14:textId="77777777" w:rsidTr="00510B68">
        <w:tc>
          <w:tcPr>
            <w:tcW w:w="5000" w:type="pct"/>
          </w:tcPr>
          <w:p w14:paraId="5E75DF7F" w14:textId="77777777" w:rsidR="00363573" w:rsidRPr="00363573" w:rsidRDefault="00363573" w:rsidP="004304E4">
            <w:pPr>
              <w:numPr>
                <w:ilvl w:val="0"/>
                <w:numId w:val="2"/>
              </w:numPr>
              <w:spacing w:before="120" w:after="120"/>
              <w:rPr>
                <w:lang w:val="en-ZA"/>
              </w:rPr>
            </w:pPr>
            <w:r w:rsidRPr="00363573">
              <w:rPr>
                <w:u w:val="single"/>
                <w:lang w:val="en-ZA"/>
              </w:rPr>
              <w:t>Technology</w:t>
            </w:r>
            <w:r w:rsidRPr="00363573">
              <w:rPr>
                <w:lang w:val="en-ZA"/>
              </w:rPr>
              <w:t xml:space="preserve">: core CBS </w:t>
            </w:r>
          </w:p>
          <w:p w14:paraId="6B0BFE4D" w14:textId="77777777" w:rsidR="00363573" w:rsidRPr="00363573" w:rsidRDefault="00363573" w:rsidP="004304E4">
            <w:pPr>
              <w:numPr>
                <w:ilvl w:val="0"/>
                <w:numId w:val="2"/>
              </w:numPr>
              <w:spacing w:before="120" w:after="120"/>
              <w:rPr>
                <w:lang w:val="en-ZA"/>
              </w:rPr>
            </w:pPr>
            <w:r w:rsidRPr="00363573">
              <w:rPr>
                <w:u w:val="single"/>
                <w:lang w:val="en-ZA"/>
              </w:rPr>
              <w:t>Non-fin’l Svcs</w:t>
            </w:r>
            <w:r w:rsidRPr="00363573">
              <w:rPr>
                <w:lang w:val="en-ZA"/>
              </w:rPr>
              <w:t xml:space="preserve">: basic financial literacy training to CU members </w:t>
            </w:r>
          </w:p>
          <w:p w14:paraId="4627B0C8" w14:textId="77777777" w:rsidR="00510B68" w:rsidRPr="00363573" w:rsidRDefault="00363573" w:rsidP="004304E4">
            <w:pPr>
              <w:numPr>
                <w:ilvl w:val="0"/>
                <w:numId w:val="2"/>
              </w:numPr>
              <w:spacing w:before="120" w:after="120"/>
              <w:rPr>
                <w:u w:val="single"/>
                <w:lang w:val="en-ZA"/>
              </w:rPr>
            </w:pPr>
            <w:r w:rsidRPr="00363573">
              <w:rPr>
                <w:u w:val="single"/>
                <w:lang w:val="en-ZA"/>
              </w:rPr>
              <w:t>Learning Potential</w:t>
            </w:r>
            <w:r w:rsidRPr="00363573">
              <w:rPr>
                <w:lang w:val="en-ZA"/>
              </w:rPr>
              <w:t>: ‘greenfield’ credit unions in post-conflict, weak infrastructure/HR capacity country; deep rural outreach with potential for linkages to informal groups; mobile money linkage potential</w:t>
            </w:r>
          </w:p>
        </w:tc>
      </w:tr>
    </w:tbl>
    <w:p w14:paraId="6DCEEAE6" w14:textId="77777777" w:rsidR="008B3290" w:rsidRDefault="008B3290">
      <w:r>
        <w:br w:type="page"/>
      </w:r>
    </w:p>
    <w:tbl>
      <w:tblPr>
        <w:tblStyle w:val="TableGrid"/>
        <w:tblW w:w="4995" w:type="pct"/>
        <w:tblLook w:val="04A0" w:firstRow="1" w:lastRow="0" w:firstColumn="1" w:lastColumn="0" w:noHBand="0" w:noVBand="1"/>
      </w:tblPr>
      <w:tblGrid>
        <w:gridCol w:w="9341"/>
      </w:tblGrid>
      <w:tr w:rsidR="004304E4" w:rsidRPr="004304E4" w14:paraId="1AC72FAC" w14:textId="77777777" w:rsidTr="006931BB">
        <w:tc>
          <w:tcPr>
            <w:tcW w:w="5000" w:type="pct"/>
            <w:shd w:val="clear" w:color="auto" w:fill="E7E6E6" w:themeFill="background2"/>
          </w:tcPr>
          <w:p w14:paraId="051BE906" w14:textId="77009E89" w:rsidR="00510B68" w:rsidRPr="004304E4" w:rsidRDefault="00EE4392" w:rsidP="004304E4">
            <w:pPr>
              <w:spacing w:before="120" w:after="120"/>
              <w:rPr>
                <w:b/>
                <w:sz w:val="28"/>
                <w:szCs w:val="28"/>
              </w:rPr>
            </w:pPr>
            <w:r w:rsidRPr="004304E4">
              <w:rPr>
                <w:b/>
                <w:bCs/>
                <w:sz w:val="28"/>
                <w:szCs w:val="28"/>
              </w:rPr>
              <w:lastRenderedPageBreak/>
              <w:t>Women's World Banking (</w:t>
            </w:r>
            <w:r w:rsidR="00087151" w:rsidRPr="004304E4">
              <w:rPr>
                <w:b/>
                <w:sz w:val="28"/>
                <w:szCs w:val="28"/>
              </w:rPr>
              <w:t>WWB</w:t>
            </w:r>
            <w:r w:rsidRPr="004304E4">
              <w:rPr>
                <w:b/>
                <w:sz w:val="28"/>
                <w:szCs w:val="28"/>
              </w:rPr>
              <w:t>)</w:t>
            </w:r>
            <w:r w:rsidR="00087151" w:rsidRPr="004304E4">
              <w:rPr>
                <w:b/>
                <w:sz w:val="28"/>
                <w:szCs w:val="28"/>
              </w:rPr>
              <w:t xml:space="preserve"> &amp; NBS, Malawi</w:t>
            </w:r>
          </w:p>
        </w:tc>
      </w:tr>
      <w:tr w:rsidR="00510B68" w14:paraId="628BCC0E" w14:textId="77777777" w:rsidTr="00510B68">
        <w:tc>
          <w:tcPr>
            <w:tcW w:w="5000" w:type="pct"/>
          </w:tcPr>
          <w:p w14:paraId="667C9E91" w14:textId="77777777" w:rsidR="00EE4392" w:rsidRPr="00EE4392" w:rsidRDefault="00EE4392" w:rsidP="004304E4">
            <w:pPr>
              <w:pStyle w:val="Default"/>
              <w:spacing w:before="120" w:after="120"/>
              <w:rPr>
                <w:bCs/>
                <w:sz w:val="22"/>
                <w:szCs w:val="22"/>
              </w:rPr>
            </w:pPr>
            <w:r w:rsidRPr="00EE4392">
              <w:rPr>
                <w:b/>
                <w:bCs/>
                <w:sz w:val="22"/>
                <w:szCs w:val="22"/>
              </w:rPr>
              <w:t>MLE Proposal:</w:t>
            </w:r>
            <w:r w:rsidRPr="00EE4392">
              <w:rPr>
                <w:bCs/>
                <w:sz w:val="22"/>
                <w:szCs w:val="22"/>
              </w:rPr>
              <w:t xml:space="preserve"> To build a foundation for NBS Bank to develop its capacity to target and serve unbanked Malawians, particularly through agency banking, with demand-driven savings products and services, thus positioning the Bank as a market leader within Malawi</w:t>
            </w:r>
            <w:r w:rsidR="00395370">
              <w:rPr>
                <w:bCs/>
                <w:sz w:val="22"/>
                <w:szCs w:val="22"/>
              </w:rPr>
              <w:t>.</w:t>
            </w:r>
          </w:p>
          <w:p w14:paraId="55DC0CA5" w14:textId="77777777" w:rsidR="00EE4392" w:rsidRPr="00EE4392" w:rsidRDefault="00EE4392" w:rsidP="004304E4">
            <w:pPr>
              <w:pStyle w:val="Default"/>
              <w:spacing w:before="120" w:after="120"/>
              <w:rPr>
                <w:bCs/>
                <w:sz w:val="22"/>
                <w:szCs w:val="22"/>
              </w:rPr>
            </w:pPr>
            <w:r w:rsidRPr="00EE4392">
              <w:rPr>
                <w:b/>
                <w:bCs/>
                <w:sz w:val="22"/>
                <w:szCs w:val="22"/>
              </w:rPr>
              <w:t>TSP:</w:t>
            </w:r>
            <w:r w:rsidRPr="00EE4392">
              <w:rPr>
                <w:bCs/>
                <w:sz w:val="22"/>
                <w:szCs w:val="22"/>
              </w:rPr>
              <w:t xml:space="preserve"> </w:t>
            </w:r>
            <w:r w:rsidRPr="00EE4392">
              <w:rPr>
                <w:b/>
                <w:bCs/>
                <w:sz w:val="22"/>
                <w:szCs w:val="22"/>
              </w:rPr>
              <w:t>Women’s World Banking</w:t>
            </w:r>
            <w:r w:rsidRPr="00EE4392">
              <w:rPr>
                <w:bCs/>
                <w:sz w:val="22"/>
                <w:szCs w:val="22"/>
              </w:rPr>
              <w:t> is the global nonprofit devoted to giving more low-income women access to the financial tools and resources they require to build security and prosperity. For more than 35 years it has worked with financial institutions to show them the benefit of investing in women as customers and as leaders. It equips institutions with in-depth market research, sustainable financial products and financial education tools that meet women’s needs. Women's World Banking's network includes 39 financial institutions working in 28 countries, and serves over 14m women. Women's World Banking has recently prioritized expansion in Sub-Saharan Africa.</w:t>
            </w:r>
          </w:p>
          <w:p w14:paraId="75DE0C53" w14:textId="77777777" w:rsidR="00510B68" w:rsidRPr="00EE4392" w:rsidRDefault="00EE4392" w:rsidP="00064FD6">
            <w:pPr>
              <w:pStyle w:val="Default"/>
              <w:spacing w:before="120" w:after="120"/>
              <w:rPr>
                <w:bCs/>
                <w:sz w:val="22"/>
                <w:szCs w:val="22"/>
              </w:rPr>
            </w:pPr>
            <w:r w:rsidRPr="00EE4392">
              <w:rPr>
                <w:b/>
                <w:bCs/>
                <w:sz w:val="22"/>
                <w:szCs w:val="22"/>
              </w:rPr>
              <w:t>FSP:</w:t>
            </w:r>
            <w:r w:rsidRPr="00EE4392">
              <w:rPr>
                <w:bCs/>
                <w:sz w:val="22"/>
                <w:szCs w:val="22"/>
              </w:rPr>
              <w:t xml:space="preserve"> Malawi’s second largest “microfinance bank” </w:t>
            </w:r>
            <w:r w:rsidRPr="00EE4392">
              <w:rPr>
                <w:b/>
                <w:bCs/>
                <w:sz w:val="22"/>
                <w:szCs w:val="22"/>
              </w:rPr>
              <w:t>NBS Bank</w:t>
            </w:r>
            <w:r w:rsidRPr="00EE4392">
              <w:rPr>
                <w:bCs/>
                <w:sz w:val="22"/>
                <w:szCs w:val="22"/>
              </w:rPr>
              <w:t xml:space="preserve"> was established in 1964 and in 2007, transformed into a fully private retail bank with a wide network of operations, including services in rural areas (80% retail). NBS provides savings and credit, including housing finance and SME loans, as well as several products targeting Women in Business. It is committed to serving under banked populations and has a presence across Malawi in 22 districts through 43 branches and agencies, 80 ATM</w:t>
            </w:r>
            <w:r w:rsidR="00064FD6">
              <w:rPr>
                <w:bCs/>
                <w:sz w:val="22"/>
                <w:szCs w:val="22"/>
              </w:rPr>
              <w:t>s</w:t>
            </w:r>
            <w:r w:rsidRPr="00EE4392">
              <w:rPr>
                <w:bCs/>
                <w:sz w:val="22"/>
                <w:szCs w:val="22"/>
              </w:rPr>
              <w:t>, 90 POS outlets, 9 banking agents and 5 mobile vans.</w:t>
            </w:r>
          </w:p>
        </w:tc>
      </w:tr>
      <w:tr w:rsidR="00087151" w:rsidRPr="004304E4" w14:paraId="714567A1" w14:textId="77777777" w:rsidTr="00BA68F3">
        <w:tc>
          <w:tcPr>
            <w:tcW w:w="5000" w:type="pct"/>
            <w:shd w:val="clear" w:color="auto" w:fill="F2F2F2" w:themeFill="background1" w:themeFillShade="F2"/>
          </w:tcPr>
          <w:p w14:paraId="28201153" w14:textId="77777777" w:rsidR="00087151" w:rsidRPr="004304E4" w:rsidRDefault="00087151" w:rsidP="004304E4">
            <w:pPr>
              <w:spacing w:before="120" w:after="120"/>
              <w:ind w:left="720"/>
              <w:rPr>
                <w:b/>
                <w:lang w:val="en-ZA"/>
              </w:rPr>
            </w:pPr>
            <w:r w:rsidRPr="004304E4">
              <w:rPr>
                <w:b/>
                <w:lang w:val="en-ZA"/>
              </w:rPr>
              <w:t>Project Potential Learnings</w:t>
            </w:r>
          </w:p>
        </w:tc>
      </w:tr>
      <w:tr w:rsidR="00510B68" w14:paraId="5B24994F" w14:textId="77777777" w:rsidTr="00510B68">
        <w:tc>
          <w:tcPr>
            <w:tcW w:w="5000" w:type="pct"/>
          </w:tcPr>
          <w:p w14:paraId="0EA57A76" w14:textId="77777777" w:rsidR="00372BA2" w:rsidRPr="00087151" w:rsidRDefault="00D5775E" w:rsidP="004304E4">
            <w:pPr>
              <w:numPr>
                <w:ilvl w:val="0"/>
                <w:numId w:val="3"/>
              </w:numPr>
              <w:spacing w:before="120" w:after="120"/>
            </w:pPr>
            <w:r w:rsidRPr="00087151">
              <w:rPr>
                <w:u w:val="single"/>
                <w:lang w:val="en-ZA"/>
              </w:rPr>
              <w:t>Technology</w:t>
            </w:r>
            <w:r w:rsidRPr="00087151">
              <w:rPr>
                <w:lang w:val="en-ZA"/>
              </w:rPr>
              <w:t xml:space="preserve">: </w:t>
            </w:r>
            <w:r w:rsidR="003C12E7" w:rsidRPr="003C12E7">
              <w:rPr>
                <w:lang w:val="en-ZA"/>
              </w:rPr>
              <w:t>agency and mobile banking, partnerships with Malawi Posts Corporation and Airtel, biometric identification</w:t>
            </w:r>
          </w:p>
          <w:p w14:paraId="7D57B4CA" w14:textId="77777777" w:rsidR="00372BA2" w:rsidRPr="00087151" w:rsidRDefault="00D5775E" w:rsidP="004304E4">
            <w:pPr>
              <w:numPr>
                <w:ilvl w:val="0"/>
                <w:numId w:val="3"/>
              </w:numPr>
              <w:spacing w:before="120" w:after="120"/>
            </w:pPr>
            <w:r w:rsidRPr="00087151">
              <w:rPr>
                <w:u w:val="single"/>
                <w:lang w:val="en-ZA"/>
              </w:rPr>
              <w:t>Non-fin’l Svcs</w:t>
            </w:r>
            <w:r w:rsidRPr="00087151">
              <w:rPr>
                <w:lang w:val="en-ZA"/>
              </w:rPr>
              <w:t>: Fin-ed is key component of marketing strategy</w:t>
            </w:r>
          </w:p>
          <w:p w14:paraId="28BFA4DE" w14:textId="77777777" w:rsidR="00510B68" w:rsidRDefault="00D5775E" w:rsidP="004304E4">
            <w:pPr>
              <w:numPr>
                <w:ilvl w:val="0"/>
                <w:numId w:val="3"/>
              </w:numPr>
              <w:spacing w:before="120" w:after="120"/>
            </w:pPr>
            <w:r w:rsidRPr="00087151">
              <w:rPr>
                <w:u w:val="single"/>
                <w:lang w:val="en-ZA"/>
              </w:rPr>
              <w:t>Learning Potential</w:t>
            </w:r>
            <w:r w:rsidRPr="00087151">
              <w:rPr>
                <w:lang w:val="en-ZA"/>
              </w:rPr>
              <w:t xml:space="preserve">: </w:t>
            </w:r>
            <w:r w:rsidR="003C12E7">
              <w:rPr>
                <w:lang w:val="en-ZA"/>
              </w:rPr>
              <w:t xml:space="preserve">market segmentation: reaching women and rural clients, </w:t>
            </w:r>
            <w:r w:rsidRPr="00087151">
              <w:rPr>
                <w:lang w:val="en-ZA"/>
              </w:rPr>
              <w:t xml:space="preserve">commercial bank downscaling to rural areas via agency and m-banking, </w:t>
            </w:r>
            <w:r w:rsidR="003C12E7">
              <w:rPr>
                <w:lang w:val="en-ZA"/>
              </w:rPr>
              <w:t xml:space="preserve">partnering with Malawi post </w:t>
            </w:r>
          </w:p>
        </w:tc>
      </w:tr>
      <w:tr w:rsidR="00510B68" w:rsidRPr="004304E4" w14:paraId="5D42FEC1" w14:textId="77777777" w:rsidTr="006931BB">
        <w:tc>
          <w:tcPr>
            <w:tcW w:w="5000" w:type="pct"/>
            <w:shd w:val="clear" w:color="auto" w:fill="E7E6E6" w:themeFill="background2"/>
          </w:tcPr>
          <w:p w14:paraId="261A628A" w14:textId="77777777" w:rsidR="00510B68" w:rsidRPr="004304E4" w:rsidRDefault="00617B95" w:rsidP="00064FD6">
            <w:pPr>
              <w:spacing w:before="120" w:after="120"/>
              <w:rPr>
                <w:b/>
                <w:sz w:val="28"/>
                <w:szCs w:val="28"/>
              </w:rPr>
            </w:pPr>
            <w:r w:rsidRPr="004304E4">
              <w:rPr>
                <w:b/>
                <w:sz w:val="28"/>
                <w:szCs w:val="28"/>
              </w:rPr>
              <w:t>Opportunity International &amp; Sinapi Aba Savings &amp; Loan</w:t>
            </w:r>
            <w:r w:rsidR="00064FD6">
              <w:rPr>
                <w:b/>
                <w:sz w:val="28"/>
                <w:szCs w:val="28"/>
              </w:rPr>
              <w:t>s</w:t>
            </w:r>
            <w:r w:rsidRPr="004304E4">
              <w:rPr>
                <w:b/>
                <w:sz w:val="28"/>
                <w:szCs w:val="28"/>
              </w:rPr>
              <w:t>, Ghana</w:t>
            </w:r>
          </w:p>
        </w:tc>
      </w:tr>
      <w:tr w:rsidR="00510B68" w14:paraId="2F25B26D" w14:textId="77777777" w:rsidTr="00510B68">
        <w:tc>
          <w:tcPr>
            <w:tcW w:w="5000" w:type="pct"/>
          </w:tcPr>
          <w:p w14:paraId="6E341BE9" w14:textId="77777777" w:rsidR="00CB5A73" w:rsidRPr="00CB5A73" w:rsidRDefault="00CB5A73" w:rsidP="004304E4">
            <w:pPr>
              <w:spacing w:before="120" w:after="120"/>
            </w:pPr>
            <w:r>
              <w:rPr>
                <w:b/>
                <w:bCs/>
                <w:lang w:val="en-ZA"/>
              </w:rPr>
              <w:t xml:space="preserve">MLE </w:t>
            </w:r>
            <w:r w:rsidRPr="00CB5A73">
              <w:rPr>
                <w:b/>
                <w:bCs/>
                <w:lang w:val="en-ZA"/>
              </w:rPr>
              <w:t xml:space="preserve">Proposal: </w:t>
            </w:r>
            <w:r w:rsidRPr="00CB5A73">
              <w:t>To support SAT/SASL transformation into a Savings and Loan</w:t>
            </w:r>
            <w:r w:rsidR="00064FD6">
              <w:t>s</w:t>
            </w:r>
            <w:r w:rsidRPr="00CB5A73">
              <w:t xml:space="preserve"> Company by helping them launch several voluntary deposit products , deploy savings-focused marketing, use technology to expand available delivery channels (via netbooks and mobile banking), streamline internal operations and increase efficiency  through new hardware and software solutions. </w:t>
            </w:r>
          </w:p>
          <w:p w14:paraId="601FA5C4" w14:textId="77777777" w:rsidR="00D94B9A" w:rsidRPr="00D94B9A" w:rsidRDefault="00D94B9A" w:rsidP="004304E4">
            <w:pPr>
              <w:spacing w:before="120" w:after="120"/>
            </w:pPr>
            <w:r w:rsidRPr="00D94B9A">
              <w:rPr>
                <w:b/>
                <w:bCs/>
                <w:lang w:val="en-ZA"/>
              </w:rPr>
              <w:t xml:space="preserve">TSP: </w:t>
            </w:r>
            <w:r w:rsidRPr="00D94B9A">
              <w:rPr>
                <w:b/>
                <w:bCs/>
              </w:rPr>
              <w:t>Opportunity International (OI)</w:t>
            </w:r>
            <w:r w:rsidRPr="00D94B9A">
              <w:t xml:space="preserve"> is a global leader in building, owning and operating regulated commercial financial institutions focused on serving poor entrepreneurs in the developing world. In recent years OI has concentrated its efforts on developing a trans-African network of banks to reach the world’s most impoverished regions.  OI operates 48 MFIs in 23 countries, of which 14 are owned members. </w:t>
            </w:r>
          </w:p>
          <w:p w14:paraId="39272E3D" w14:textId="77777777" w:rsidR="00510B68" w:rsidRDefault="00D94B9A" w:rsidP="004304E4">
            <w:pPr>
              <w:spacing w:before="120" w:after="120"/>
            </w:pPr>
            <w:r w:rsidRPr="00D94B9A">
              <w:rPr>
                <w:b/>
                <w:bCs/>
                <w:lang w:val="en-ZA"/>
              </w:rPr>
              <w:t xml:space="preserve">FSP: </w:t>
            </w:r>
            <w:r w:rsidRPr="00D94B9A">
              <w:t xml:space="preserve">Established in 1994, </w:t>
            </w:r>
            <w:r w:rsidRPr="00D94B9A">
              <w:rPr>
                <w:b/>
                <w:bCs/>
              </w:rPr>
              <w:t xml:space="preserve">Sinapi Aba Trust (SAT) </w:t>
            </w:r>
            <w:r w:rsidRPr="00D94B9A">
              <w:t xml:space="preserve">is a non-profit, non-government organization (NGO) committed to providing financial services and business training to the poorest of the economically active poor in Ghana. SAT is </w:t>
            </w:r>
            <w:r w:rsidRPr="00D94B9A">
              <w:rPr>
                <w:lang w:val="en-AU"/>
              </w:rPr>
              <w:t>Ghana’s largest financial NGO</w:t>
            </w:r>
            <w:r w:rsidRPr="00D94B9A">
              <w:t xml:space="preserve">, serving over 130,000 active loan clients through 48 total branches in all 10 regions of Ghana. SAT legally registered </w:t>
            </w:r>
            <w:r w:rsidRPr="00D0099C">
              <w:rPr>
                <w:b/>
              </w:rPr>
              <w:t>Sinapi Aba Savings &amp; Loans</w:t>
            </w:r>
            <w:r w:rsidRPr="00D94B9A">
              <w:t xml:space="preserve"> (SASL) in December 2011 and received Central Bank approval to operate as a Tier 1 Savings &amp; Loans (S&amp;L) institution in March 2013.  SAT will become SASL’s majority shareholder whereas SASL </w:t>
            </w:r>
            <w:r w:rsidRPr="00D94B9A">
              <w:lastRenderedPageBreak/>
              <w:t>will take over SAT’s microfinance operations while SAT continues to provide non-financial services (referred to as (SAT/SASL).</w:t>
            </w:r>
          </w:p>
        </w:tc>
      </w:tr>
      <w:tr w:rsidR="002B3CBE" w:rsidRPr="004304E4" w14:paraId="708C312B" w14:textId="77777777" w:rsidTr="00BA68F3">
        <w:tc>
          <w:tcPr>
            <w:tcW w:w="5000" w:type="pct"/>
            <w:shd w:val="clear" w:color="auto" w:fill="F2F2F2" w:themeFill="background1" w:themeFillShade="F2"/>
          </w:tcPr>
          <w:p w14:paraId="543AD863" w14:textId="77777777" w:rsidR="002B3CBE" w:rsidRPr="004304E4" w:rsidRDefault="002B3CBE" w:rsidP="004304E4">
            <w:pPr>
              <w:spacing w:before="120" w:after="120"/>
              <w:ind w:left="720"/>
              <w:rPr>
                <w:b/>
                <w:lang w:val="en-ZA"/>
              </w:rPr>
            </w:pPr>
            <w:r w:rsidRPr="004304E4">
              <w:rPr>
                <w:b/>
                <w:lang w:val="en-ZA"/>
              </w:rPr>
              <w:lastRenderedPageBreak/>
              <w:t>Project Potential Learnings</w:t>
            </w:r>
          </w:p>
        </w:tc>
      </w:tr>
      <w:tr w:rsidR="002B3CBE" w14:paraId="425442E5" w14:textId="77777777" w:rsidTr="00BA68F3">
        <w:tc>
          <w:tcPr>
            <w:tcW w:w="5000" w:type="pct"/>
          </w:tcPr>
          <w:p w14:paraId="4D472B57" w14:textId="77777777" w:rsidR="00372BA2" w:rsidRPr="002B3CBE" w:rsidRDefault="00D5775E" w:rsidP="004304E4">
            <w:pPr>
              <w:numPr>
                <w:ilvl w:val="0"/>
                <w:numId w:val="3"/>
              </w:numPr>
              <w:spacing w:before="120" w:after="120"/>
            </w:pPr>
            <w:r w:rsidRPr="002B3CBE">
              <w:rPr>
                <w:u w:val="single"/>
                <w:lang w:val="en-ZA"/>
              </w:rPr>
              <w:t>Technology</w:t>
            </w:r>
            <w:r w:rsidRPr="002B3CBE">
              <w:rPr>
                <w:lang w:val="en-ZA"/>
              </w:rPr>
              <w:t>:  mobile banking &amp; netbooks, biometric technology</w:t>
            </w:r>
          </w:p>
          <w:p w14:paraId="3E569806" w14:textId="77777777" w:rsidR="00372BA2" w:rsidRPr="002B3CBE" w:rsidRDefault="00D5775E" w:rsidP="004304E4">
            <w:pPr>
              <w:numPr>
                <w:ilvl w:val="0"/>
                <w:numId w:val="3"/>
              </w:numPr>
              <w:spacing w:before="120" w:after="120"/>
            </w:pPr>
            <w:r w:rsidRPr="002B3CBE">
              <w:rPr>
                <w:u w:val="single"/>
                <w:lang w:val="en-ZA"/>
              </w:rPr>
              <w:t xml:space="preserve">Non-fin’l svcs: </w:t>
            </w:r>
            <w:r w:rsidRPr="002B3CBE">
              <w:rPr>
                <w:lang w:val="en-ZA"/>
              </w:rPr>
              <w:t>youth program, fin-ed for savings, client tech education</w:t>
            </w:r>
          </w:p>
          <w:p w14:paraId="1B12FBD8" w14:textId="77777777" w:rsidR="002B3CBE" w:rsidRDefault="00D5775E" w:rsidP="004304E4">
            <w:pPr>
              <w:numPr>
                <w:ilvl w:val="0"/>
                <w:numId w:val="3"/>
              </w:numPr>
              <w:spacing w:before="120" w:after="120"/>
            </w:pPr>
            <w:r w:rsidRPr="002B3CBE">
              <w:rPr>
                <w:u w:val="single"/>
                <w:lang w:val="en-ZA"/>
              </w:rPr>
              <w:t>Learning Potential</w:t>
            </w:r>
            <w:r w:rsidRPr="002B3CBE">
              <w:rPr>
                <w:lang w:val="en-ZA"/>
              </w:rPr>
              <w:t>: rural &amp; women outre</w:t>
            </w:r>
            <w:r w:rsidR="00AE10B7">
              <w:rPr>
                <w:lang w:val="en-ZA"/>
              </w:rPr>
              <w:t>ach, transformation, change management</w:t>
            </w:r>
            <w:r w:rsidRPr="002B3CBE">
              <w:rPr>
                <w:lang w:val="en-ZA"/>
              </w:rPr>
              <w:t xml:space="preserve">, technology upgrade, fin-ed for savings, specific KM topics identified </w:t>
            </w:r>
          </w:p>
        </w:tc>
      </w:tr>
      <w:tr w:rsidR="00FD797E" w:rsidRPr="004304E4" w14:paraId="7FA2F609" w14:textId="77777777" w:rsidTr="00BA68F3">
        <w:tc>
          <w:tcPr>
            <w:tcW w:w="5000" w:type="pct"/>
            <w:shd w:val="clear" w:color="auto" w:fill="E7E6E6" w:themeFill="background2"/>
          </w:tcPr>
          <w:p w14:paraId="35971239" w14:textId="77777777" w:rsidR="00FD797E" w:rsidRPr="004304E4" w:rsidRDefault="00FD797E" w:rsidP="004304E4">
            <w:pPr>
              <w:spacing w:before="120" w:after="120"/>
              <w:rPr>
                <w:b/>
                <w:sz w:val="28"/>
                <w:szCs w:val="28"/>
              </w:rPr>
            </w:pPr>
            <w:r w:rsidRPr="004304E4">
              <w:rPr>
                <w:b/>
                <w:sz w:val="28"/>
                <w:szCs w:val="28"/>
              </w:rPr>
              <w:t>CARE &amp; Mwanga Community Bank, Tanzania</w:t>
            </w:r>
          </w:p>
        </w:tc>
      </w:tr>
      <w:tr w:rsidR="00510B68" w14:paraId="0D3457AE" w14:textId="77777777" w:rsidTr="00510B68">
        <w:tc>
          <w:tcPr>
            <w:tcW w:w="5000" w:type="pct"/>
          </w:tcPr>
          <w:p w14:paraId="29C5B59A" w14:textId="77777777" w:rsidR="008539C5" w:rsidRPr="009303C7" w:rsidRDefault="008539C5" w:rsidP="008539C5">
            <w:pPr>
              <w:spacing w:before="120" w:after="120"/>
            </w:pPr>
            <w:r>
              <w:rPr>
                <w:b/>
                <w:bCs/>
                <w:lang w:val="en-ZA"/>
              </w:rPr>
              <w:t xml:space="preserve">MLE Proposal: </w:t>
            </w:r>
            <w:r w:rsidRPr="00D0099C">
              <w:rPr>
                <w:bCs/>
                <w:lang w:val="en-ZA"/>
              </w:rPr>
              <w:t xml:space="preserve">CARE in partnership with Mwanga Community Bank </w:t>
            </w:r>
            <w:r w:rsidR="00064FD6" w:rsidRPr="00D0099C">
              <w:rPr>
                <w:bCs/>
                <w:lang w:val="en-ZA"/>
              </w:rPr>
              <w:t>(MCB)</w:t>
            </w:r>
            <w:r w:rsidR="00064FD6">
              <w:rPr>
                <w:b/>
                <w:bCs/>
                <w:lang w:val="en-ZA"/>
              </w:rPr>
              <w:t xml:space="preserve"> </w:t>
            </w:r>
            <w:r w:rsidRPr="009303C7">
              <w:t xml:space="preserve">will work </w:t>
            </w:r>
            <w:r>
              <w:t xml:space="preserve">in collaboration </w:t>
            </w:r>
            <w:r w:rsidRPr="009303C7">
              <w:t>to increase financial inclusion in the Kilimanjaro region</w:t>
            </w:r>
            <w:r>
              <w:t xml:space="preserve"> through the offering of appropriate formal financial products and services developed specifically for CARE’s savings groups called </w:t>
            </w:r>
            <w:r w:rsidR="00064FD6">
              <w:t>village savings and loan associations (</w:t>
            </w:r>
            <w:r>
              <w:t>VSLAs</w:t>
            </w:r>
            <w:r w:rsidR="00064FD6">
              <w:t>)</w:t>
            </w:r>
            <w:r>
              <w:t xml:space="preserve"> </w:t>
            </w:r>
            <w:r w:rsidRPr="009303C7">
              <w:t xml:space="preserve">. On the supply side, CARE will support MCB in developing new saving products to be offered to VSLAs. CARE will </w:t>
            </w:r>
            <w:r>
              <w:t xml:space="preserve">also provide technical support to </w:t>
            </w:r>
            <w:r w:rsidRPr="009303C7">
              <w:t xml:space="preserve">MCB in </w:t>
            </w:r>
            <w:r>
              <w:t xml:space="preserve">order to </w:t>
            </w:r>
            <w:r w:rsidRPr="009303C7">
              <w:t>integrat</w:t>
            </w:r>
            <w:r>
              <w:t>e</w:t>
            </w:r>
            <w:r w:rsidRPr="009303C7">
              <w:t xml:space="preserve"> new products and technology in its operations</w:t>
            </w:r>
            <w:r>
              <w:t xml:space="preserve">, train </w:t>
            </w:r>
            <w:r w:rsidRPr="009303C7">
              <w:t>MCB staff in product delivery to VSLAs</w:t>
            </w:r>
            <w:r w:rsidR="00064FD6">
              <w:t>,</w:t>
            </w:r>
            <w:r>
              <w:t xml:space="preserve"> </w:t>
            </w:r>
            <w:r w:rsidRPr="009303C7">
              <w:t xml:space="preserve">support MCB in increasing its outreach </w:t>
            </w:r>
            <w:r>
              <w:t xml:space="preserve">across the Kilimanjaro region </w:t>
            </w:r>
            <w:r w:rsidRPr="009303C7">
              <w:t xml:space="preserve">and in reporting data to Mix Market.  On the demand side, CARE will increase the outreach of VSLAs using its existing network of local Village Agents (VAs) and through appointing new Franchisees. </w:t>
            </w:r>
            <w:r>
              <w:t xml:space="preserve">In order to promote awareness and build greater financial management knowledge amongst the VSLAs that will be linked to MCB, </w:t>
            </w:r>
            <w:r w:rsidRPr="009303C7">
              <w:t xml:space="preserve">CARE will build the capacity of VAs and Franchisees who will then provide financial </w:t>
            </w:r>
            <w:r>
              <w:t>education</w:t>
            </w:r>
            <w:r w:rsidRPr="009303C7">
              <w:t xml:space="preserve"> trainings</w:t>
            </w:r>
            <w:r>
              <w:t xml:space="preserve"> as well as</w:t>
            </w:r>
            <w:r w:rsidRPr="009303C7">
              <w:t xml:space="preserve"> financial linkage trainings to VSLAs and link matured VSLAs to MCB. </w:t>
            </w:r>
          </w:p>
          <w:p w14:paraId="20D49204" w14:textId="77777777" w:rsidR="008539C5" w:rsidRDefault="008539C5" w:rsidP="008539C5">
            <w:pPr>
              <w:spacing w:before="120" w:after="120"/>
            </w:pPr>
            <w:r>
              <w:rPr>
                <w:b/>
                <w:bCs/>
                <w:lang w:val="en-ZA"/>
              </w:rPr>
              <w:t xml:space="preserve">TSP: </w:t>
            </w:r>
            <w:r w:rsidRPr="009303C7">
              <w:rPr>
                <w:b/>
                <w:bCs/>
              </w:rPr>
              <w:t>CARE</w:t>
            </w:r>
            <w:r w:rsidRPr="009303C7">
              <w:t xml:space="preserve"> is the largest NGO providing microfinance services in Sub-Saharan Africa, reaching </w:t>
            </w:r>
            <w:r>
              <w:t xml:space="preserve">nearly 4 </w:t>
            </w:r>
            <w:r w:rsidRPr="009303C7">
              <w:t>million people through V</w:t>
            </w:r>
            <w:r w:rsidR="00064FD6">
              <w:t>SLAs</w:t>
            </w:r>
            <w:r w:rsidRPr="009303C7">
              <w:t xml:space="preserve"> with programs operating in 26 countries in Africa. Of these clients, more than 70 percent are women and the vast majority live in remote rural. CARE’s Access Africa program, launched in 2008, aims to reach 30 million people in SSA over </w:t>
            </w:r>
            <w:r>
              <w:t xml:space="preserve">the next decade </w:t>
            </w:r>
            <w:r w:rsidRPr="009303C7">
              <w:t>by enabling the</w:t>
            </w:r>
            <w:r w:rsidR="00064FD6">
              <w:t>ir</w:t>
            </w:r>
            <w:r w:rsidRPr="009303C7">
              <w:t xml:space="preserve"> access to basic financial services. The program also works with formal financial institutions to provide access to appropriate and convenient financial products and services in </w:t>
            </w:r>
            <w:r>
              <w:t>the aim to broaden financial inclusion across Africa.</w:t>
            </w:r>
          </w:p>
          <w:p w14:paraId="15F2585B" w14:textId="77777777" w:rsidR="00510B68" w:rsidRDefault="008539C5" w:rsidP="00D0099C">
            <w:pPr>
              <w:spacing w:before="120" w:after="120"/>
            </w:pPr>
            <w:r>
              <w:rPr>
                <w:b/>
                <w:bCs/>
                <w:lang w:val="en-ZA"/>
              </w:rPr>
              <w:t xml:space="preserve">FSP: </w:t>
            </w:r>
            <w:r w:rsidRPr="009303C7">
              <w:rPr>
                <w:b/>
                <w:bCs/>
              </w:rPr>
              <w:t xml:space="preserve">Mwanga Community Bank </w:t>
            </w:r>
            <w:r w:rsidRPr="002F169A">
              <w:rPr>
                <w:rFonts w:ascii="Calibri" w:hAnsi="Calibri" w:cs="Times New Roman"/>
              </w:rPr>
              <w:t xml:space="preserve">opened its doors to the public after obtaining its license from Bank of Tanzania </w:t>
            </w:r>
            <w:r w:rsidR="00064FD6">
              <w:rPr>
                <w:rFonts w:ascii="Calibri" w:hAnsi="Calibri" w:cs="Times New Roman"/>
              </w:rPr>
              <w:t xml:space="preserve">(BOT) </w:t>
            </w:r>
            <w:r w:rsidRPr="002F169A">
              <w:rPr>
                <w:rFonts w:ascii="Calibri" w:hAnsi="Calibri" w:cs="Times New Roman"/>
              </w:rPr>
              <w:t>as a Regional Unit Financial Institution in 2000. In 2009 MCB obtained a Regional Bank license from BOT which allow</w:t>
            </w:r>
            <w:r w:rsidR="00064FD6">
              <w:rPr>
                <w:rFonts w:ascii="Calibri" w:hAnsi="Calibri" w:cs="Times New Roman"/>
              </w:rPr>
              <w:t>s</w:t>
            </w:r>
            <w:r w:rsidRPr="002F169A">
              <w:rPr>
                <w:rFonts w:ascii="Calibri" w:hAnsi="Calibri" w:cs="Times New Roman"/>
              </w:rPr>
              <w:t xml:space="preserve"> the bank to operate throughout the Kilimanjaro Region. The bank is a public limited company</w:t>
            </w:r>
            <w:r w:rsidR="00D0099C">
              <w:rPr>
                <w:rFonts w:ascii="Calibri" w:hAnsi="Calibri" w:cs="Times New Roman"/>
              </w:rPr>
              <w:t>.</w:t>
            </w:r>
            <w:r w:rsidRPr="002F169A">
              <w:rPr>
                <w:rFonts w:ascii="Calibri" w:hAnsi="Calibri" w:cs="Times New Roman"/>
              </w:rPr>
              <w:t xml:space="preserve"> </w:t>
            </w:r>
          </w:p>
        </w:tc>
      </w:tr>
      <w:tr w:rsidR="002B3CBE" w:rsidRPr="004304E4" w14:paraId="24A6D21A" w14:textId="77777777" w:rsidTr="00BA68F3">
        <w:tc>
          <w:tcPr>
            <w:tcW w:w="5000" w:type="pct"/>
            <w:shd w:val="clear" w:color="auto" w:fill="F2F2F2" w:themeFill="background1" w:themeFillShade="F2"/>
          </w:tcPr>
          <w:p w14:paraId="2C145FAA" w14:textId="77777777" w:rsidR="002B3CBE" w:rsidRPr="004304E4" w:rsidRDefault="002B3CBE" w:rsidP="008539C5">
            <w:pPr>
              <w:spacing w:before="120" w:after="120"/>
              <w:ind w:left="720"/>
              <w:rPr>
                <w:b/>
                <w:lang w:val="en-ZA"/>
              </w:rPr>
            </w:pPr>
            <w:r w:rsidRPr="004304E4">
              <w:rPr>
                <w:b/>
                <w:lang w:val="en-ZA"/>
              </w:rPr>
              <w:t>Project Potential Learnings</w:t>
            </w:r>
          </w:p>
        </w:tc>
      </w:tr>
      <w:tr w:rsidR="00510B68" w14:paraId="16CE9679" w14:textId="77777777" w:rsidTr="00510B68">
        <w:tc>
          <w:tcPr>
            <w:tcW w:w="5000" w:type="pct"/>
          </w:tcPr>
          <w:p w14:paraId="2ED70504" w14:textId="77777777" w:rsidR="008539C5" w:rsidRPr="00FC342E" w:rsidRDefault="008539C5" w:rsidP="00FC342E">
            <w:pPr>
              <w:numPr>
                <w:ilvl w:val="0"/>
                <w:numId w:val="6"/>
              </w:numPr>
              <w:spacing w:before="120" w:after="120"/>
              <w:ind w:left="714" w:hanging="357"/>
              <w:rPr>
                <w:u w:val="single"/>
              </w:rPr>
            </w:pPr>
            <w:r w:rsidRPr="00FC342E">
              <w:rPr>
                <w:u w:val="single"/>
              </w:rPr>
              <w:t>Technology</w:t>
            </w:r>
            <w:r w:rsidRPr="00FC342E">
              <w:t xml:space="preserve">: mobile &amp; agent banking offers to VSLAs, SAVIX </w:t>
            </w:r>
            <w:r w:rsidR="00D0099C">
              <w:t xml:space="preserve">savings group database </w:t>
            </w:r>
            <w:r w:rsidRPr="00FC342E">
              <w:t>data sharing</w:t>
            </w:r>
            <w:r w:rsidRPr="00FC342E">
              <w:rPr>
                <w:u w:val="single"/>
              </w:rPr>
              <w:t xml:space="preserve"> </w:t>
            </w:r>
          </w:p>
          <w:p w14:paraId="09E82E91" w14:textId="77777777" w:rsidR="008539C5" w:rsidRPr="00FC342E" w:rsidRDefault="008539C5" w:rsidP="00FC342E">
            <w:pPr>
              <w:numPr>
                <w:ilvl w:val="0"/>
                <w:numId w:val="6"/>
              </w:numPr>
              <w:spacing w:before="120" w:after="120"/>
              <w:ind w:left="714" w:hanging="357"/>
            </w:pPr>
            <w:r w:rsidRPr="00FC342E">
              <w:rPr>
                <w:u w:val="single"/>
              </w:rPr>
              <w:t>Non-fin’l Svcs</w:t>
            </w:r>
            <w:r w:rsidRPr="00FC342E">
              <w:t>: Preparing groups for formal financial services through fin-ed training, banking education for VSLAs to be linked to bank and linkage education for bank staff</w:t>
            </w:r>
          </w:p>
          <w:p w14:paraId="2B4F286D" w14:textId="77777777" w:rsidR="00510B68" w:rsidRPr="00FC342E" w:rsidRDefault="008539C5" w:rsidP="00FC342E">
            <w:pPr>
              <w:numPr>
                <w:ilvl w:val="0"/>
                <w:numId w:val="6"/>
              </w:numPr>
              <w:spacing w:before="120" w:after="120"/>
              <w:ind w:left="714" w:hanging="357"/>
              <w:rPr>
                <w:u w:val="single"/>
              </w:rPr>
            </w:pPr>
            <w:r w:rsidRPr="00FC342E">
              <w:rPr>
                <w:u w:val="single"/>
              </w:rPr>
              <w:t>Learning Potential</w:t>
            </w:r>
            <w:r w:rsidRPr="00FC342E">
              <w:t>: franchisee model of sustainability, VSLA linkages, SACCOs as agents, business case for group and low-balance products and service offerings</w:t>
            </w:r>
          </w:p>
        </w:tc>
      </w:tr>
      <w:tr w:rsidR="00FD797E" w:rsidRPr="004304E4" w14:paraId="5F1A43EB" w14:textId="77777777" w:rsidTr="00BA68F3">
        <w:tc>
          <w:tcPr>
            <w:tcW w:w="5000" w:type="pct"/>
            <w:shd w:val="clear" w:color="auto" w:fill="E7E6E6" w:themeFill="background2"/>
          </w:tcPr>
          <w:p w14:paraId="0E6F4E44" w14:textId="77777777" w:rsidR="00FD797E" w:rsidRPr="004304E4" w:rsidRDefault="008E0706" w:rsidP="004304E4">
            <w:pPr>
              <w:spacing w:before="120" w:after="120"/>
              <w:rPr>
                <w:b/>
                <w:sz w:val="28"/>
                <w:szCs w:val="28"/>
              </w:rPr>
            </w:pPr>
            <w:r w:rsidRPr="004304E4">
              <w:rPr>
                <w:b/>
                <w:sz w:val="28"/>
                <w:szCs w:val="28"/>
              </w:rPr>
              <w:lastRenderedPageBreak/>
              <w:t>BASIX/PAMIGA, MIFED, UCCGN, CEC &amp; A3C, Cameroon</w:t>
            </w:r>
          </w:p>
        </w:tc>
      </w:tr>
      <w:tr w:rsidR="00510B68" w14:paraId="0D172D47" w14:textId="77777777" w:rsidTr="00510B68">
        <w:tc>
          <w:tcPr>
            <w:tcW w:w="5000" w:type="pct"/>
          </w:tcPr>
          <w:p w14:paraId="0DAC7793" w14:textId="77777777" w:rsidR="00D23046" w:rsidRDefault="00D23046" w:rsidP="00CF630D">
            <w:pPr>
              <w:spacing w:before="120" w:after="120"/>
              <w:rPr>
                <w:b/>
                <w:bCs/>
                <w:lang w:val="en-ZA"/>
              </w:rPr>
            </w:pPr>
            <w:r>
              <w:rPr>
                <w:b/>
                <w:bCs/>
                <w:lang w:val="en-ZA"/>
              </w:rPr>
              <w:t xml:space="preserve">MLE Proposal: </w:t>
            </w:r>
            <w:r>
              <w:rPr>
                <w:lang w:val="en-ZA"/>
              </w:rPr>
              <w:t xml:space="preserve">To </w:t>
            </w:r>
            <w:r w:rsidRPr="0071173B">
              <w:t xml:space="preserve">strengthen two </w:t>
            </w:r>
            <w:r>
              <w:rPr>
                <w:lang w:val="en-ZA"/>
              </w:rPr>
              <w:t>Federations of Village Banks and CEC Cameroon. The wider dissemination and impact on other similar institutions in the sector would be undertaken through appropriate knowledge building and dissemination mechanisms implemented through the microfinance association (MIFED).</w:t>
            </w:r>
          </w:p>
          <w:p w14:paraId="2C73F6C7" w14:textId="77777777" w:rsidR="00D23046" w:rsidRDefault="00D23046" w:rsidP="00CF630D">
            <w:pPr>
              <w:spacing w:before="120" w:after="120"/>
              <w:rPr>
                <w:lang w:val="en-ZA"/>
              </w:rPr>
            </w:pPr>
            <w:r>
              <w:rPr>
                <w:b/>
                <w:bCs/>
                <w:lang w:val="en-ZA"/>
              </w:rPr>
              <w:t xml:space="preserve">TSP: BASIX </w:t>
            </w:r>
            <w:r>
              <w:rPr>
                <w:lang w:val="en-ZA"/>
              </w:rPr>
              <w:t>is an Indian organization whose mission is to promote sustainable livelihoods, including for the rural poor and women, through the provision of financial services and technical assistance in an integrated manner.</w:t>
            </w:r>
          </w:p>
          <w:p w14:paraId="77CF08DB" w14:textId="77777777" w:rsidR="00D23046" w:rsidRDefault="00D23046" w:rsidP="00CF630D">
            <w:pPr>
              <w:spacing w:before="120" w:after="120"/>
              <w:rPr>
                <w:lang w:val="en-ZA"/>
              </w:rPr>
            </w:pPr>
            <w:r>
              <w:rPr>
                <w:lang w:val="en-ZA"/>
              </w:rPr>
              <w:t>For more than 25 years</w:t>
            </w:r>
            <w:r w:rsidR="00064FD6">
              <w:rPr>
                <w:lang w:val="en-ZA"/>
              </w:rPr>
              <w:t>,</w:t>
            </w:r>
            <w:r>
              <w:rPr>
                <w:lang w:val="en-ZA"/>
              </w:rPr>
              <w:t xml:space="preserve"> CIDR has been involved in developing innovative and cost effective rural microfinance models across Africa through Greenfields and providing technical assistance to the microfinance sector.  It is currently active in 15 African countries. </w:t>
            </w:r>
            <w:r w:rsidRPr="00D23046">
              <w:rPr>
                <w:b/>
                <w:lang w:val="en-ZA"/>
              </w:rPr>
              <w:t xml:space="preserve">PAMIGA </w:t>
            </w:r>
            <w:r>
              <w:rPr>
                <w:lang w:val="en-ZA"/>
              </w:rPr>
              <w:t>was formed in 2005 by CIDR and by African microfinance experts to contribute to the development and the professionalization of the microfinance sector, particularly in rural areas</w:t>
            </w:r>
            <w:r w:rsidR="00064FD6">
              <w:rPr>
                <w:lang w:val="en-ZA"/>
              </w:rPr>
              <w:t>.</w:t>
            </w:r>
            <w:r>
              <w:rPr>
                <w:lang w:val="en-ZA"/>
              </w:rPr>
              <w:t xml:space="preserve"> </w:t>
            </w:r>
          </w:p>
          <w:p w14:paraId="5C93AE38" w14:textId="77777777" w:rsidR="00D23046" w:rsidRDefault="00D23046" w:rsidP="00CF630D">
            <w:pPr>
              <w:spacing w:before="120" w:after="120"/>
              <w:rPr>
                <w:lang w:val="en-ZA"/>
              </w:rPr>
            </w:pPr>
            <w:r>
              <w:rPr>
                <w:b/>
                <w:bCs/>
                <w:lang w:val="en-ZA"/>
              </w:rPr>
              <w:t xml:space="preserve">FSP: </w:t>
            </w:r>
            <w:r w:rsidRPr="0071173B">
              <w:rPr>
                <w:b/>
                <w:bCs/>
              </w:rPr>
              <w:t xml:space="preserve">A3C (Association des CVECA et </w:t>
            </w:r>
            <w:r>
              <w:rPr>
                <w:b/>
                <w:bCs/>
                <w:lang w:val="en-ZA"/>
              </w:rPr>
              <w:t>CECA du Centre</w:t>
            </w:r>
            <w:r>
              <w:rPr>
                <w:lang w:val="en-ZA"/>
              </w:rPr>
              <w:t xml:space="preserve">) is an </w:t>
            </w:r>
            <w:r w:rsidRPr="0071173B">
              <w:t>apolitical, non-profit,</w:t>
            </w:r>
            <w:r>
              <w:rPr>
                <w:lang w:val="en-ZA"/>
              </w:rPr>
              <w:t xml:space="preserve"> federation of village banks.  It is a voluntary offshoot of merged portfolios of CVECA and CECA of the Centre.</w:t>
            </w:r>
          </w:p>
          <w:p w14:paraId="288F9381" w14:textId="77777777" w:rsidR="00D23046" w:rsidRPr="0071173B" w:rsidRDefault="00D23046" w:rsidP="00CF630D">
            <w:pPr>
              <w:spacing w:before="120" w:after="120"/>
            </w:pPr>
            <w:r>
              <w:rPr>
                <w:b/>
                <w:bCs/>
                <w:lang w:val="en-ZA"/>
              </w:rPr>
              <w:t>FSP: UCCGN</w:t>
            </w:r>
            <w:r>
              <w:rPr>
                <w:lang w:val="en-ZA"/>
              </w:rPr>
              <w:t xml:space="preserve"> is also a federation of village banks.  It is comprised of a network of CVECA and CECAs of Grand North and was created on June 17, 2006 following the consolidation of 4 regional networks: network of Mayo-Danay Mayo-Louti, and Mayo-Sava Mayo-Kani. It had 11 founding village banks and intervenes today in 6 departments of Cameroon covering 16 districts and 270 villages.</w:t>
            </w:r>
          </w:p>
          <w:p w14:paraId="271A8AB1" w14:textId="77777777" w:rsidR="00D0099C" w:rsidRDefault="00D23046" w:rsidP="00CF630D">
            <w:pPr>
              <w:spacing w:before="120" w:after="120"/>
            </w:pPr>
            <w:r>
              <w:rPr>
                <w:b/>
                <w:bCs/>
                <w:lang w:val="en-ZA"/>
              </w:rPr>
              <w:t xml:space="preserve">FSP: </w:t>
            </w:r>
            <w:r w:rsidRPr="0071173B">
              <w:rPr>
                <w:b/>
                <w:bCs/>
              </w:rPr>
              <w:t xml:space="preserve">CEC Cameroon </w:t>
            </w:r>
            <w:r w:rsidRPr="0071173B">
              <w:t xml:space="preserve">is a savings and credit institution </w:t>
            </w:r>
            <w:r>
              <w:rPr>
                <w:lang w:val="en-ZA"/>
              </w:rPr>
              <w:t xml:space="preserve">created in November </w:t>
            </w:r>
            <w:r w:rsidRPr="0071173B">
              <w:t xml:space="preserve">1994. </w:t>
            </w:r>
          </w:p>
          <w:p w14:paraId="40475F13" w14:textId="77777777" w:rsidR="00510B68" w:rsidRDefault="00D23046" w:rsidP="00CF630D">
            <w:pPr>
              <w:spacing w:before="120" w:after="120"/>
            </w:pPr>
            <w:r>
              <w:rPr>
                <w:b/>
                <w:bCs/>
                <w:lang w:val="en-ZA"/>
              </w:rPr>
              <w:t>Partner: MIFED (Microfinance et Développement</w:t>
            </w:r>
            <w:r>
              <w:rPr>
                <w:lang w:val="en-ZA"/>
              </w:rPr>
              <w:t>) is a sector building organization founded in 1998. It has a network of 142 village banks federated into two federations, with more than 60,000 clients.</w:t>
            </w:r>
          </w:p>
        </w:tc>
      </w:tr>
      <w:tr w:rsidR="006B1AFA" w:rsidRPr="004304E4" w14:paraId="61684768" w14:textId="77777777" w:rsidTr="00BA68F3">
        <w:tc>
          <w:tcPr>
            <w:tcW w:w="5000" w:type="pct"/>
            <w:shd w:val="clear" w:color="auto" w:fill="F2F2F2" w:themeFill="background1" w:themeFillShade="F2"/>
          </w:tcPr>
          <w:p w14:paraId="4D30BA4F" w14:textId="77777777" w:rsidR="006B1AFA" w:rsidRPr="004304E4" w:rsidRDefault="006B1AFA" w:rsidP="004304E4">
            <w:pPr>
              <w:spacing w:before="120" w:after="120"/>
              <w:ind w:left="720"/>
              <w:rPr>
                <w:b/>
                <w:lang w:val="en-ZA"/>
              </w:rPr>
            </w:pPr>
            <w:r w:rsidRPr="004304E4">
              <w:rPr>
                <w:b/>
                <w:lang w:val="en-ZA"/>
              </w:rPr>
              <w:t>Project Potential Learnings</w:t>
            </w:r>
          </w:p>
        </w:tc>
      </w:tr>
      <w:tr w:rsidR="00510B68" w14:paraId="1E0EB777" w14:textId="77777777" w:rsidTr="00510B68">
        <w:tc>
          <w:tcPr>
            <w:tcW w:w="5000" w:type="pct"/>
          </w:tcPr>
          <w:p w14:paraId="78885165" w14:textId="77777777" w:rsidR="00D23046" w:rsidRDefault="00D23046" w:rsidP="00FC342E">
            <w:pPr>
              <w:numPr>
                <w:ilvl w:val="0"/>
                <w:numId w:val="6"/>
              </w:numPr>
              <w:spacing w:before="120" w:after="120"/>
              <w:ind w:left="714" w:hanging="357"/>
            </w:pPr>
            <w:r w:rsidRPr="0071173B">
              <w:rPr>
                <w:u w:val="single"/>
              </w:rPr>
              <w:t>Technology</w:t>
            </w:r>
            <w:r w:rsidRPr="0071173B">
              <w:t xml:space="preserve">: </w:t>
            </w:r>
            <w:r>
              <w:t xml:space="preserve">Selection and purchase of MIS that can enable use of </w:t>
            </w:r>
            <w:r w:rsidRPr="0071173B">
              <w:t>m-banking</w:t>
            </w:r>
            <w:r>
              <w:t xml:space="preserve">. M-banking will be </w:t>
            </w:r>
            <w:r w:rsidRPr="0071173B">
              <w:t>pilot</w:t>
            </w:r>
            <w:r>
              <w:t>ed</w:t>
            </w:r>
            <w:r w:rsidRPr="0071173B">
              <w:t xml:space="preserve"> with CEC</w:t>
            </w:r>
            <w:r>
              <w:t xml:space="preserve"> </w:t>
            </w:r>
            <w:r w:rsidRPr="0071173B">
              <w:t>, business correspondent outlet model</w:t>
            </w:r>
          </w:p>
          <w:p w14:paraId="20A7901F" w14:textId="77777777" w:rsidR="00D23046" w:rsidRPr="0071173B" w:rsidRDefault="00D23046" w:rsidP="00FC342E">
            <w:pPr>
              <w:numPr>
                <w:ilvl w:val="0"/>
                <w:numId w:val="6"/>
              </w:numPr>
              <w:spacing w:before="120" w:after="120"/>
              <w:ind w:left="714" w:hanging="357"/>
            </w:pPr>
            <w:r>
              <w:rPr>
                <w:u w:val="single"/>
              </w:rPr>
              <w:t>New financial products</w:t>
            </w:r>
            <w:r w:rsidRPr="00D00949">
              <w:t>:</w:t>
            </w:r>
            <w:r>
              <w:t xml:space="preserve"> revision of existing products or designing new products to meet clients’ needs</w:t>
            </w:r>
          </w:p>
          <w:p w14:paraId="5750B5A0" w14:textId="77777777" w:rsidR="00D23046" w:rsidRPr="00D23046" w:rsidRDefault="00D23046" w:rsidP="00FC342E">
            <w:pPr>
              <w:numPr>
                <w:ilvl w:val="0"/>
                <w:numId w:val="6"/>
              </w:numPr>
              <w:spacing w:before="120" w:after="120"/>
              <w:ind w:left="714" w:hanging="357"/>
            </w:pPr>
            <w:r>
              <w:rPr>
                <w:u w:val="single"/>
                <w:lang w:val="en-ZA"/>
              </w:rPr>
              <w:t>Non-financial  Services</w:t>
            </w:r>
            <w:r>
              <w:rPr>
                <w:lang w:val="en-ZA"/>
              </w:rPr>
              <w:t>: Financial literacy provided to 25% of the total clients being serviced by the 3 institutions</w:t>
            </w:r>
          </w:p>
          <w:p w14:paraId="4E549616" w14:textId="77777777" w:rsidR="00510B68" w:rsidRDefault="00D23046" w:rsidP="00FC342E">
            <w:pPr>
              <w:numPr>
                <w:ilvl w:val="0"/>
                <w:numId w:val="6"/>
              </w:numPr>
              <w:spacing w:before="120" w:after="120"/>
              <w:ind w:left="714" w:hanging="357"/>
            </w:pPr>
            <w:r>
              <w:rPr>
                <w:u w:val="single"/>
                <w:lang w:val="en-ZA"/>
              </w:rPr>
              <w:t>Learning Potential</w:t>
            </w:r>
            <w:r>
              <w:rPr>
                <w:lang w:val="en-ZA"/>
              </w:rPr>
              <w:t>: merging or transforming CVECA and CECA model for outreach, scale-up rural adjusted financial model in Africa, reinforcing local MF sector</w:t>
            </w:r>
          </w:p>
        </w:tc>
      </w:tr>
    </w:tbl>
    <w:p w14:paraId="138404AE" w14:textId="77777777" w:rsidR="008B3290" w:rsidRDefault="008B3290">
      <w:r>
        <w:br w:type="page"/>
      </w:r>
      <w:bookmarkStart w:id="0" w:name="_GoBack"/>
      <w:bookmarkEnd w:id="0"/>
    </w:p>
    <w:tbl>
      <w:tblPr>
        <w:tblStyle w:val="TableGrid"/>
        <w:tblW w:w="4995" w:type="pct"/>
        <w:tblLook w:val="04A0" w:firstRow="1" w:lastRow="0" w:firstColumn="1" w:lastColumn="0" w:noHBand="0" w:noVBand="1"/>
      </w:tblPr>
      <w:tblGrid>
        <w:gridCol w:w="9341"/>
      </w:tblGrid>
      <w:tr w:rsidR="00FD797E" w:rsidRPr="004304E4" w14:paraId="7F42CF76" w14:textId="77777777" w:rsidTr="00BA68F3">
        <w:tc>
          <w:tcPr>
            <w:tcW w:w="5000" w:type="pct"/>
            <w:shd w:val="clear" w:color="auto" w:fill="E7E6E6" w:themeFill="background2"/>
          </w:tcPr>
          <w:p w14:paraId="35A1122B" w14:textId="36166095" w:rsidR="00FD797E" w:rsidRPr="004304E4" w:rsidRDefault="00E36865" w:rsidP="004304E4">
            <w:pPr>
              <w:spacing w:before="120" w:after="120"/>
              <w:rPr>
                <w:b/>
                <w:sz w:val="28"/>
                <w:szCs w:val="28"/>
              </w:rPr>
            </w:pPr>
            <w:r w:rsidRPr="004304E4">
              <w:rPr>
                <w:b/>
                <w:sz w:val="28"/>
                <w:szCs w:val="28"/>
              </w:rPr>
              <w:lastRenderedPageBreak/>
              <w:t>CRDB Bank, Burundi</w:t>
            </w:r>
          </w:p>
        </w:tc>
      </w:tr>
      <w:tr w:rsidR="00510B68" w14:paraId="35D5F337" w14:textId="77777777" w:rsidTr="00510B68">
        <w:tc>
          <w:tcPr>
            <w:tcW w:w="5000" w:type="pct"/>
          </w:tcPr>
          <w:p w14:paraId="411DEBE3" w14:textId="77777777" w:rsidR="00FE25AB" w:rsidRDefault="00FE25AB" w:rsidP="00FE25AB">
            <w:pPr>
              <w:spacing w:before="120" w:after="120"/>
              <w:rPr>
                <w:rFonts w:eastAsia="Times New Roman"/>
              </w:rPr>
            </w:pPr>
            <w:r>
              <w:rPr>
                <w:rFonts w:eastAsia="Times New Roman"/>
                <w:b/>
                <w:bCs/>
                <w:lang w:val="en-ZA"/>
              </w:rPr>
              <w:t xml:space="preserve">MLE Proposal: </w:t>
            </w:r>
            <w:r>
              <w:rPr>
                <w:rFonts w:eastAsia="Times New Roman"/>
                <w:lang w:val="en-ZA"/>
              </w:rPr>
              <w:t>CRDB Bank Plc is planning to invest US$10 million in 2012 to setup its first wholly-owned subsidiary in Burundi. The bank is registered in the name of CRDB BANK Burundi SA as a commercial bank offering all banking products including Microfinance services and products. This investment is part of the bank’s evolving regional expansion strategy into the five member-countries of the East African Economic Community (EAC). The bank plans to aggressively pursue electronic banking opportunities, foreign exchange trade and movement of cash into and out of Burundi from the neighbouring countries of Tanzania, Burundi, Rwanda, and DRC. Through a combination of wholesale microfinance and SME retail banking</w:t>
            </w:r>
            <w:r w:rsidR="00395370">
              <w:rPr>
                <w:rFonts w:eastAsia="Times New Roman"/>
                <w:lang w:val="en-ZA"/>
              </w:rPr>
              <w:t>,</w:t>
            </w:r>
            <w:r>
              <w:rPr>
                <w:rFonts w:eastAsia="Times New Roman"/>
                <w:lang w:val="en-ZA"/>
              </w:rPr>
              <w:t xml:space="preserve"> the subsidiary plans to tap into the huge unmet demand for financial services by thousands of the country’s micro- and small-scale enterprises including commercially-oriented smallholder agricultural sector that produces most</w:t>
            </w:r>
            <w:r w:rsidR="00395370">
              <w:rPr>
                <w:rFonts w:eastAsia="Times New Roman"/>
                <w:lang w:val="en-ZA"/>
              </w:rPr>
              <w:t>ly</w:t>
            </w:r>
            <w:r>
              <w:rPr>
                <w:rFonts w:eastAsia="Times New Roman"/>
                <w:lang w:val="en-ZA"/>
              </w:rPr>
              <w:t xml:space="preserve"> </w:t>
            </w:r>
            <w:r w:rsidR="00395370">
              <w:rPr>
                <w:rFonts w:eastAsia="Times New Roman"/>
                <w:lang w:val="en-ZA"/>
              </w:rPr>
              <w:t>t</w:t>
            </w:r>
            <w:r>
              <w:rPr>
                <w:rFonts w:eastAsia="Times New Roman"/>
                <w:lang w:val="en-ZA"/>
              </w:rPr>
              <w:t xml:space="preserve">ea and </w:t>
            </w:r>
            <w:r w:rsidR="00395370">
              <w:rPr>
                <w:rFonts w:eastAsia="Times New Roman"/>
                <w:lang w:val="en-ZA"/>
              </w:rPr>
              <w:t>c</w:t>
            </w:r>
            <w:r>
              <w:rPr>
                <w:rFonts w:eastAsia="Times New Roman"/>
                <w:lang w:val="en-ZA"/>
              </w:rPr>
              <w:t>offee</w:t>
            </w:r>
            <w:r w:rsidR="00395370">
              <w:rPr>
                <w:rFonts w:eastAsia="Times New Roman"/>
                <w:lang w:val="en-ZA"/>
              </w:rPr>
              <w:t>.</w:t>
            </w:r>
            <w:r>
              <w:rPr>
                <w:rFonts w:eastAsia="Times New Roman"/>
                <w:lang w:val="en-ZA"/>
              </w:rPr>
              <w:t xml:space="preserve"> </w:t>
            </w:r>
          </w:p>
          <w:p w14:paraId="33EF2D6C" w14:textId="77777777" w:rsidR="00FE25AB" w:rsidRDefault="00FE25AB" w:rsidP="00FE25AB">
            <w:pPr>
              <w:spacing w:before="120" w:after="120"/>
              <w:rPr>
                <w:rFonts w:eastAsia="Times New Roman"/>
              </w:rPr>
            </w:pPr>
            <w:r>
              <w:rPr>
                <w:rFonts w:eastAsia="Times New Roman"/>
                <w:b/>
                <w:bCs/>
                <w:lang w:val="en-ZA"/>
              </w:rPr>
              <w:t xml:space="preserve">FSP: </w:t>
            </w:r>
            <w:r>
              <w:rPr>
                <w:rFonts w:eastAsia="Times New Roman"/>
                <w:lang w:val="en-ZA"/>
              </w:rPr>
              <w:t xml:space="preserve">Incorporated in Tanzania in1996 as a private limited liability company, following a successful re-structuring and privatization of the previously state-owned </w:t>
            </w:r>
            <w:r>
              <w:rPr>
                <w:rFonts w:eastAsia="Times New Roman"/>
                <w:b/>
                <w:bCs/>
                <w:lang w:val="en-ZA"/>
              </w:rPr>
              <w:t>Cooperative and Rural Development Bank, CRDB</w:t>
            </w:r>
            <w:r>
              <w:rPr>
                <w:rFonts w:eastAsia="Times New Roman"/>
                <w:lang w:val="en-ZA"/>
              </w:rPr>
              <w:t xml:space="preserve"> </w:t>
            </w:r>
            <w:r>
              <w:rPr>
                <w:rFonts w:eastAsia="Times New Roman"/>
                <w:b/>
                <w:bCs/>
                <w:lang w:val="en-ZA"/>
              </w:rPr>
              <w:t>Plc</w:t>
            </w:r>
            <w:r>
              <w:rPr>
                <w:rFonts w:eastAsia="Times New Roman"/>
                <w:lang w:val="en-ZA"/>
              </w:rPr>
              <w:t xml:space="preserve"> has evolved to become one of the leading banks not only in East Africa, but also the entire Africa region.  DANIDA equity and support was instrumental in CRDB’s turnaround.</w:t>
            </w:r>
          </w:p>
          <w:p w14:paraId="79AE466C" w14:textId="77777777" w:rsidR="00FE25AB" w:rsidRPr="00FE25AB" w:rsidRDefault="00FE25AB" w:rsidP="00FE25AB">
            <w:pPr>
              <w:spacing w:before="120" w:after="120"/>
              <w:rPr>
                <w:rFonts w:eastAsia="Times New Roman"/>
              </w:rPr>
            </w:pPr>
            <w:r>
              <w:rPr>
                <w:rFonts w:eastAsia="Times New Roman"/>
              </w:rPr>
              <w:t>CRDB Microfinance Services Company is a subsidiary of CRDB Bank, established in 2008 to focus on microfinance services.  In Tanzania</w:t>
            </w:r>
            <w:r w:rsidR="00395370">
              <w:rPr>
                <w:rFonts w:eastAsia="Times New Roman"/>
              </w:rPr>
              <w:t>,</w:t>
            </w:r>
            <w:r>
              <w:rPr>
                <w:rFonts w:eastAsia="Times New Roman"/>
              </w:rPr>
              <w:t xml:space="preserve"> it provides wholesale lending and savings services to 494 rural and urban SACCOs and has a 54 staff team.</w:t>
            </w:r>
          </w:p>
          <w:p w14:paraId="2DD0944C" w14:textId="77777777" w:rsidR="00510B68" w:rsidRDefault="00FE25AB" w:rsidP="00FE25AB">
            <w:pPr>
              <w:spacing w:before="120" w:after="120"/>
            </w:pPr>
            <w:r>
              <w:rPr>
                <w:rFonts w:eastAsia="Times New Roman"/>
              </w:rPr>
              <w:t xml:space="preserve">CRDB Bank Burundi SA will get support from </w:t>
            </w:r>
            <w:r w:rsidRPr="00D0099C">
              <w:rPr>
                <w:rFonts w:eastAsia="Times New Roman"/>
              </w:rPr>
              <w:t>CRDB Microfinance Services</w:t>
            </w:r>
            <w:r>
              <w:rPr>
                <w:rFonts w:eastAsia="Times New Roman"/>
              </w:rPr>
              <w:t xml:space="preserve"> in implementing microfinance products and services in the Burundi market.</w:t>
            </w:r>
          </w:p>
        </w:tc>
      </w:tr>
      <w:tr w:rsidR="00E36865" w:rsidRPr="004304E4" w14:paraId="1577FFF2" w14:textId="77777777" w:rsidTr="00BA68F3">
        <w:tc>
          <w:tcPr>
            <w:tcW w:w="5000" w:type="pct"/>
            <w:shd w:val="clear" w:color="auto" w:fill="F2F2F2" w:themeFill="background1" w:themeFillShade="F2"/>
          </w:tcPr>
          <w:p w14:paraId="6BE04305" w14:textId="77777777" w:rsidR="00E36865" w:rsidRPr="004304E4" w:rsidRDefault="00E36865" w:rsidP="004304E4">
            <w:pPr>
              <w:spacing w:before="120" w:after="120"/>
              <w:ind w:left="720"/>
              <w:rPr>
                <w:b/>
                <w:lang w:val="en-ZA"/>
              </w:rPr>
            </w:pPr>
            <w:r w:rsidRPr="004304E4">
              <w:rPr>
                <w:b/>
                <w:lang w:val="en-ZA"/>
              </w:rPr>
              <w:t>Project Potential Learnings</w:t>
            </w:r>
          </w:p>
        </w:tc>
      </w:tr>
      <w:tr w:rsidR="00510B68" w14:paraId="5D8B4F68" w14:textId="77777777" w:rsidTr="00510B68">
        <w:tc>
          <w:tcPr>
            <w:tcW w:w="5000" w:type="pct"/>
          </w:tcPr>
          <w:p w14:paraId="37A29465" w14:textId="77777777" w:rsidR="00395370" w:rsidRPr="00D0099C" w:rsidRDefault="00FE25AB" w:rsidP="00C47893">
            <w:pPr>
              <w:pStyle w:val="ListParagraph"/>
              <w:numPr>
                <w:ilvl w:val="0"/>
                <w:numId w:val="8"/>
              </w:numPr>
              <w:spacing w:before="120" w:after="120"/>
              <w:ind w:left="714" w:hanging="357"/>
              <w:contextualSpacing w:val="0"/>
              <w:rPr>
                <w:rFonts w:eastAsia="Times New Roman"/>
              </w:rPr>
            </w:pPr>
            <w:r w:rsidRPr="00D0099C">
              <w:rPr>
                <w:rFonts w:eastAsia="Times New Roman"/>
                <w:u w:val="single"/>
                <w:lang w:val="en-ZA"/>
              </w:rPr>
              <w:t>Technology</w:t>
            </w:r>
            <w:r w:rsidRPr="00D0099C">
              <w:rPr>
                <w:rFonts w:eastAsia="Times New Roman"/>
                <w:lang w:val="en-ZA"/>
              </w:rPr>
              <w:t xml:space="preserve">: Branches on wheels, mobile banking, ATMs, credit cards, POS, Cross border transactions, internet and SIM Banking </w:t>
            </w:r>
          </w:p>
          <w:p w14:paraId="7323CA58" w14:textId="77777777" w:rsidR="00FE25AB" w:rsidRPr="00FE25AB" w:rsidRDefault="00FE25AB" w:rsidP="00FE25AB">
            <w:pPr>
              <w:pStyle w:val="ListParagraph"/>
              <w:numPr>
                <w:ilvl w:val="0"/>
                <w:numId w:val="8"/>
              </w:numPr>
              <w:spacing w:before="120" w:after="120"/>
              <w:ind w:left="714" w:hanging="357"/>
              <w:contextualSpacing w:val="0"/>
              <w:rPr>
                <w:rFonts w:eastAsia="Times New Roman"/>
              </w:rPr>
            </w:pPr>
            <w:r w:rsidRPr="00FE25AB">
              <w:rPr>
                <w:rFonts w:eastAsia="Times New Roman"/>
                <w:u w:val="single"/>
                <w:lang w:val="en-ZA"/>
              </w:rPr>
              <w:t>Non-fin’l Svcs</w:t>
            </w:r>
            <w:r>
              <w:rPr>
                <w:rFonts w:eastAsia="Times New Roman"/>
                <w:lang w:val="en-ZA"/>
              </w:rPr>
              <w:t>: capacity building</w:t>
            </w:r>
            <w:r w:rsidRPr="00FE25AB">
              <w:rPr>
                <w:rFonts w:eastAsia="Times New Roman"/>
                <w:lang w:val="en-ZA"/>
              </w:rPr>
              <w:t xml:space="preserve"> to clients/SACCOs </w:t>
            </w:r>
          </w:p>
          <w:p w14:paraId="3F168223" w14:textId="77777777" w:rsidR="00510B68" w:rsidRDefault="00FE25AB" w:rsidP="00FE25AB">
            <w:pPr>
              <w:numPr>
                <w:ilvl w:val="0"/>
                <w:numId w:val="7"/>
              </w:numPr>
              <w:spacing w:before="120" w:after="120"/>
              <w:ind w:left="714" w:hanging="357"/>
            </w:pPr>
            <w:r>
              <w:rPr>
                <w:rFonts w:ascii="Times New Roman" w:eastAsia="Times New Roman" w:hAnsi="Times New Roman"/>
                <w:sz w:val="14"/>
                <w:szCs w:val="14"/>
              </w:rPr>
              <w:t xml:space="preserve"> </w:t>
            </w:r>
            <w:r>
              <w:rPr>
                <w:rFonts w:eastAsia="Times New Roman"/>
                <w:u w:val="single"/>
                <w:lang w:val="en-ZA"/>
              </w:rPr>
              <w:t>Learning Potential</w:t>
            </w:r>
            <w:r>
              <w:rPr>
                <w:rFonts w:eastAsia="Times New Roman"/>
                <w:lang w:val="en-ZA"/>
              </w:rPr>
              <w:t>: South-south initiative, agri-services, outreach via technology, rural outreach through SACCOs</w:t>
            </w:r>
          </w:p>
        </w:tc>
      </w:tr>
    </w:tbl>
    <w:p w14:paraId="447228B1" w14:textId="77777777" w:rsidR="00222D21" w:rsidRDefault="00222D21"/>
    <w:sectPr w:rsidR="00222D21" w:rsidSect="00A60359">
      <w:headerReference w:type="default" r:id="rId8"/>
      <w:footerReference w:type="default" r:id="rId9"/>
      <w:pgSz w:w="12240" w:h="15840"/>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EF7B4" w14:textId="77777777" w:rsidR="00E6249A" w:rsidRDefault="00E6249A" w:rsidP="00A60359">
      <w:pPr>
        <w:spacing w:after="0" w:line="240" w:lineRule="auto"/>
      </w:pPr>
      <w:r>
        <w:separator/>
      </w:r>
    </w:p>
  </w:endnote>
  <w:endnote w:type="continuationSeparator" w:id="0">
    <w:p w14:paraId="7BC66CA0" w14:textId="77777777" w:rsidR="00E6249A" w:rsidRDefault="00E6249A" w:rsidP="00A60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09DDA" w14:textId="77777777" w:rsidR="00A60359" w:rsidRPr="00A60359" w:rsidRDefault="00A60359">
    <w:pPr>
      <w:pStyle w:val="Footer"/>
      <w:jc w:val="right"/>
      <w:rPr>
        <w:rFonts w:ascii="Calibri" w:hAnsi="Calibri"/>
      </w:rPr>
    </w:pPr>
    <w:r w:rsidRPr="00A60359">
      <w:rPr>
        <w:rFonts w:ascii="Calibri" w:hAnsi="Calibri"/>
        <w:color w:val="5B9BD5" w:themeColor="accent1"/>
        <w:sz w:val="20"/>
        <w:szCs w:val="20"/>
      </w:rPr>
      <w:t xml:space="preserve">pg. </w:t>
    </w:r>
    <w:r w:rsidRPr="00A60359">
      <w:rPr>
        <w:rFonts w:ascii="Calibri" w:hAnsi="Calibri"/>
        <w:color w:val="5B9BD5" w:themeColor="accent1"/>
        <w:sz w:val="20"/>
        <w:szCs w:val="20"/>
      </w:rPr>
      <w:fldChar w:fldCharType="begin"/>
    </w:r>
    <w:r w:rsidRPr="00A60359">
      <w:rPr>
        <w:rFonts w:ascii="Calibri" w:hAnsi="Calibri"/>
        <w:color w:val="5B9BD5" w:themeColor="accent1"/>
        <w:sz w:val="20"/>
        <w:szCs w:val="20"/>
      </w:rPr>
      <w:instrText xml:space="preserve"> PAGE  \* Arabic </w:instrText>
    </w:r>
    <w:r w:rsidRPr="00A60359">
      <w:rPr>
        <w:rFonts w:ascii="Calibri" w:hAnsi="Calibri"/>
        <w:color w:val="5B9BD5" w:themeColor="accent1"/>
        <w:sz w:val="20"/>
        <w:szCs w:val="20"/>
      </w:rPr>
      <w:fldChar w:fldCharType="separate"/>
    </w:r>
    <w:r w:rsidR="008B3290">
      <w:rPr>
        <w:rFonts w:ascii="Calibri" w:hAnsi="Calibri"/>
        <w:noProof/>
        <w:color w:val="5B9BD5" w:themeColor="accent1"/>
        <w:sz w:val="20"/>
        <w:szCs w:val="20"/>
      </w:rPr>
      <w:t>6</w:t>
    </w:r>
    <w:r w:rsidRPr="00A60359">
      <w:rPr>
        <w:rFonts w:ascii="Calibri" w:hAnsi="Calibri"/>
        <w:color w:val="5B9BD5" w:themeColor="accent1"/>
        <w:sz w:val="20"/>
        <w:szCs w:val="20"/>
      </w:rPr>
      <w:fldChar w:fldCharType="end"/>
    </w:r>
  </w:p>
  <w:p w14:paraId="1D4484E5" w14:textId="77777777" w:rsidR="00A60359" w:rsidRDefault="00A60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21535" w14:textId="77777777" w:rsidR="00E6249A" w:rsidRDefault="00E6249A" w:rsidP="00A60359">
      <w:pPr>
        <w:spacing w:after="0" w:line="240" w:lineRule="auto"/>
      </w:pPr>
      <w:r>
        <w:separator/>
      </w:r>
    </w:p>
  </w:footnote>
  <w:footnote w:type="continuationSeparator" w:id="0">
    <w:p w14:paraId="11C41238" w14:textId="77777777" w:rsidR="00E6249A" w:rsidRDefault="00E6249A" w:rsidP="00A603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3BA67" w14:textId="7BE5DEC7" w:rsidR="00A60359" w:rsidRPr="00A60359" w:rsidRDefault="00A60359" w:rsidP="00A60359">
    <w:pPr>
      <w:pStyle w:val="Header"/>
      <w:spacing w:line="360" w:lineRule="auto"/>
      <w:jc w:val="right"/>
    </w:pPr>
    <w:r>
      <w:rPr>
        <w:noProof/>
      </w:rPr>
      <w:drawing>
        <wp:inline distT="0" distB="0" distL="0" distR="0" wp14:anchorId="6287D109" wp14:editId="0F6B4008">
          <wp:extent cx="755374" cy="507448"/>
          <wp:effectExtent l="0" t="0" r="6985" b="6985"/>
          <wp:docPr id="10" name="Picture 9" descr="mcf_39%_stationery_pc_rgbNEW"/>
          <wp:cNvGraphicFramePr/>
          <a:graphic xmlns:a="http://schemas.openxmlformats.org/drawingml/2006/main">
            <a:graphicData uri="http://schemas.openxmlformats.org/drawingml/2006/picture">
              <pic:pic xmlns:pic="http://schemas.openxmlformats.org/drawingml/2006/picture">
                <pic:nvPicPr>
                  <pic:cNvPr id="10" name="Picture 9" descr="mcf_39%_stationery_pc_rgbNEW"/>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133" cy="511989"/>
                  </a:xfrm>
                  <a:prstGeom prst="rect">
                    <a:avLst/>
                  </a:prstGeom>
                  <a:noFill/>
                </pic:spPr>
              </pic:pic>
            </a:graphicData>
          </a:graphic>
        </wp:inline>
      </w:drawing>
    </w:r>
    <w:r w:rsidRPr="00B16A6F">
      <w:rPr>
        <w:b/>
        <w:sz w:val="28"/>
        <w:szCs w:val="28"/>
      </w:rPr>
      <w:t xml:space="preserve"> </w:t>
    </w:r>
    <w:r>
      <w:rPr>
        <w:b/>
        <w:sz w:val="28"/>
        <w:szCs w:val="28"/>
      </w:rPr>
      <w:tab/>
    </w:r>
    <w:r w:rsidR="005927D6">
      <w:rPr>
        <w:b/>
        <w:sz w:val="28"/>
        <w:szCs w:val="28"/>
      </w:rPr>
      <w:t xml:space="preserve">                 </w:t>
    </w:r>
    <w:r w:rsidRPr="00B16A6F">
      <w:rPr>
        <w:b/>
        <w:sz w:val="28"/>
        <w:szCs w:val="28"/>
      </w:rPr>
      <w:t xml:space="preserve">MicroLead </w:t>
    </w:r>
    <w:r w:rsidR="00395370">
      <w:rPr>
        <w:b/>
        <w:sz w:val="28"/>
        <w:szCs w:val="28"/>
      </w:rPr>
      <w:t xml:space="preserve">Expansion </w:t>
    </w:r>
    <w:r w:rsidRPr="00B16A6F">
      <w:rPr>
        <w:b/>
        <w:sz w:val="28"/>
        <w:szCs w:val="28"/>
      </w:rPr>
      <w:t>Grantee Summaries</w:t>
    </w:r>
    <w:r w:rsidR="005927D6">
      <w:rPr>
        <w:b/>
        <w:sz w:val="28"/>
        <w:szCs w:val="28"/>
      </w:rPr>
      <w:t xml:space="preserve">                  </w:t>
    </w:r>
    <w:r>
      <w:rPr>
        <w:noProof/>
        <w:sz w:val="16"/>
        <w:szCs w:val="16"/>
      </w:rPr>
      <w:t xml:space="preserve"> </w:t>
    </w:r>
    <w:r w:rsidRPr="005519F5">
      <w:rPr>
        <w:noProof/>
        <w:sz w:val="16"/>
        <w:szCs w:val="16"/>
      </w:rPr>
      <w:drawing>
        <wp:inline distT="0" distB="0" distL="0" distR="0" wp14:anchorId="20842CC1" wp14:editId="09B5A449">
          <wp:extent cx="590550" cy="533400"/>
          <wp:effectExtent l="19050" t="0" r="0" b="0"/>
          <wp:docPr id="2" name="Picture 1" descr="Description: UNCDF logo[3]"/>
          <wp:cNvGraphicFramePr/>
          <a:graphic xmlns:a="http://schemas.openxmlformats.org/drawingml/2006/main">
            <a:graphicData uri="http://schemas.openxmlformats.org/drawingml/2006/picture">
              <pic:pic xmlns:pic="http://schemas.openxmlformats.org/drawingml/2006/picture">
                <pic:nvPicPr>
                  <pic:cNvPr id="11" name="Picture 1" descr="Description: UNCDF logo[3]"/>
                  <pic:cNvPicPr>
                    <a:picLocks noChangeAspect="1" noChangeArrowheads="1"/>
                  </pic:cNvPicPr>
                </pic:nvPicPr>
                <pic:blipFill>
                  <a:blip r:embed="rId2" cstate="print"/>
                  <a:srcRect/>
                  <a:stretch>
                    <a:fillRect/>
                  </a:stretch>
                </pic:blipFill>
                <pic:spPr bwMode="auto">
                  <a:xfrm>
                    <a:off x="0" y="0"/>
                    <a:ext cx="588917" cy="5319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F4956"/>
    <w:multiLevelType w:val="hybridMultilevel"/>
    <w:tmpl w:val="B776BE4E"/>
    <w:lvl w:ilvl="0" w:tplc="1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50F0E"/>
    <w:multiLevelType w:val="hybridMultilevel"/>
    <w:tmpl w:val="A38A5922"/>
    <w:lvl w:ilvl="0" w:tplc="CD70F31A">
      <w:start w:val="1"/>
      <w:numFmt w:val="bullet"/>
      <w:lvlText w:val=""/>
      <w:lvlJc w:val="left"/>
      <w:pPr>
        <w:tabs>
          <w:tab w:val="num" w:pos="720"/>
        </w:tabs>
        <w:ind w:left="720" w:hanging="360"/>
      </w:pPr>
      <w:rPr>
        <w:rFonts w:ascii="Wingdings" w:hAnsi="Wingdings" w:hint="default"/>
      </w:rPr>
    </w:lvl>
    <w:lvl w:ilvl="1" w:tplc="AC920CEE" w:tentative="1">
      <w:start w:val="1"/>
      <w:numFmt w:val="bullet"/>
      <w:lvlText w:val=""/>
      <w:lvlJc w:val="left"/>
      <w:pPr>
        <w:tabs>
          <w:tab w:val="num" w:pos="1440"/>
        </w:tabs>
        <w:ind w:left="1440" w:hanging="360"/>
      </w:pPr>
      <w:rPr>
        <w:rFonts w:ascii="Wingdings" w:hAnsi="Wingdings" w:hint="default"/>
      </w:rPr>
    </w:lvl>
    <w:lvl w:ilvl="2" w:tplc="5E821554" w:tentative="1">
      <w:start w:val="1"/>
      <w:numFmt w:val="bullet"/>
      <w:lvlText w:val=""/>
      <w:lvlJc w:val="left"/>
      <w:pPr>
        <w:tabs>
          <w:tab w:val="num" w:pos="2160"/>
        </w:tabs>
        <w:ind w:left="2160" w:hanging="360"/>
      </w:pPr>
      <w:rPr>
        <w:rFonts w:ascii="Wingdings" w:hAnsi="Wingdings" w:hint="default"/>
      </w:rPr>
    </w:lvl>
    <w:lvl w:ilvl="3" w:tplc="B2281DB4" w:tentative="1">
      <w:start w:val="1"/>
      <w:numFmt w:val="bullet"/>
      <w:lvlText w:val=""/>
      <w:lvlJc w:val="left"/>
      <w:pPr>
        <w:tabs>
          <w:tab w:val="num" w:pos="2880"/>
        </w:tabs>
        <w:ind w:left="2880" w:hanging="360"/>
      </w:pPr>
      <w:rPr>
        <w:rFonts w:ascii="Wingdings" w:hAnsi="Wingdings" w:hint="default"/>
      </w:rPr>
    </w:lvl>
    <w:lvl w:ilvl="4" w:tplc="FE767DB6" w:tentative="1">
      <w:start w:val="1"/>
      <w:numFmt w:val="bullet"/>
      <w:lvlText w:val=""/>
      <w:lvlJc w:val="left"/>
      <w:pPr>
        <w:tabs>
          <w:tab w:val="num" w:pos="3600"/>
        </w:tabs>
        <w:ind w:left="3600" w:hanging="360"/>
      </w:pPr>
      <w:rPr>
        <w:rFonts w:ascii="Wingdings" w:hAnsi="Wingdings" w:hint="default"/>
      </w:rPr>
    </w:lvl>
    <w:lvl w:ilvl="5" w:tplc="4DBCA7C6" w:tentative="1">
      <w:start w:val="1"/>
      <w:numFmt w:val="bullet"/>
      <w:lvlText w:val=""/>
      <w:lvlJc w:val="left"/>
      <w:pPr>
        <w:tabs>
          <w:tab w:val="num" w:pos="4320"/>
        </w:tabs>
        <w:ind w:left="4320" w:hanging="360"/>
      </w:pPr>
      <w:rPr>
        <w:rFonts w:ascii="Wingdings" w:hAnsi="Wingdings" w:hint="default"/>
      </w:rPr>
    </w:lvl>
    <w:lvl w:ilvl="6" w:tplc="C8D294BA" w:tentative="1">
      <w:start w:val="1"/>
      <w:numFmt w:val="bullet"/>
      <w:lvlText w:val=""/>
      <w:lvlJc w:val="left"/>
      <w:pPr>
        <w:tabs>
          <w:tab w:val="num" w:pos="5040"/>
        </w:tabs>
        <w:ind w:left="5040" w:hanging="360"/>
      </w:pPr>
      <w:rPr>
        <w:rFonts w:ascii="Wingdings" w:hAnsi="Wingdings" w:hint="default"/>
      </w:rPr>
    </w:lvl>
    <w:lvl w:ilvl="7" w:tplc="334E942A" w:tentative="1">
      <w:start w:val="1"/>
      <w:numFmt w:val="bullet"/>
      <w:lvlText w:val=""/>
      <w:lvlJc w:val="left"/>
      <w:pPr>
        <w:tabs>
          <w:tab w:val="num" w:pos="5760"/>
        </w:tabs>
        <w:ind w:left="5760" w:hanging="360"/>
      </w:pPr>
      <w:rPr>
        <w:rFonts w:ascii="Wingdings" w:hAnsi="Wingdings" w:hint="default"/>
      </w:rPr>
    </w:lvl>
    <w:lvl w:ilvl="8" w:tplc="9D6001CC" w:tentative="1">
      <w:start w:val="1"/>
      <w:numFmt w:val="bullet"/>
      <w:lvlText w:val=""/>
      <w:lvlJc w:val="left"/>
      <w:pPr>
        <w:tabs>
          <w:tab w:val="num" w:pos="6480"/>
        </w:tabs>
        <w:ind w:left="6480" w:hanging="360"/>
      </w:pPr>
      <w:rPr>
        <w:rFonts w:ascii="Wingdings" w:hAnsi="Wingdings" w:hint="default"/>
      </w:rPr>
    </w:lvl>
  </w:abstractNum>
  <w:abstractNum w:abstractNumId="2">
    <w:nsid w:val="0A4E7D19"/>
    <w:multiLevelType w:val="hybridMultilevel"/>
    <w:tmpl w:val="10B08FE8"/>
    <w:lvl w:ilvl="0" w:tplc="42A88A0E">
      <w:start w:val="1"/>
      <w:numFmt w:val="bullet"/>
      <w:lvlText w:val=""/>
      <w:lvlJc w:val="left"/>
      <w:pPr>
        <w:tabs>
          <w:tab w:val="num" w:pos="720"/>
        </w:tabs>
        <w:ind w:left="720" w:hanging="360"/>
      </w:pPr>
      <w:rPr>
        <w:rFonts w:ascii="Wingdings" w:hAnsi="Wingdings" w:hint="default"/>
      </w:rPr>
    </w:lvl>
    <w:lvl w:ilvl="1" w:tplc="E35C0240" w:tentative="1">
      <w:start w:val="1"/>
      <w:numFmt w:val="bullet"/>
      <w:lvlText w:val=""/>
      <w:lvlJc w:val="left"/>
      <w:pPr>
        <w:tabs>
          <w:tab w:val="num" w:pos="1440"/>
        </w:tabs>
        <w:ind w:left="1440" w:hanging="360"/>
      </w:pPr>
      <w:rPr>
        <w:rFonts w:ascii="Wingdings" w:hAnsi="Wingdings" w:hint="default"/>
      </w:rPr>
    </w:lvl>
    <w:lvl w:ilvl="2" w:tplc="B9242206" w:tentative="1">
      <w:start w:val="1"/>
      <w:numFmt w:val="bullet"/>
      <w:lvlText w:val=""/>
      <w:lvlJc w:val="left"/>
      <w:pPr>
        <w:tabs>
          <w:tab w:val="num" w:pos="2160"/>
        </w:tabs>
        <w:ind w:left="2160" w:hanging="360"/>
      </w:pPr>
      <w:rPr>
        <w:rFonts w:ascii="Wingdings" w:hAnsi="Wingdings" w:hint="default"/>
      </w:rPr>
    </w:lvl>
    <w:lvl w:ilvl="3" w:tplc="9CE810C4" w:tentative="1">
      <w:start w:val="1"/>
      <w:numFmt w:val="bullet"/>
      <w:lvlText w:val=""/>
      <w:lvlJc w:val="left"/>
      <w:pPr>
        <w:tabs>
          <w:tab w:val="num" w:pos="2880"/>
        </w:tabs>
        <w:ind w:left="2880" w:hanging="360"/>
      </w:pPr>
      <w:rPr>
        <w:rFonts w:ascii="Wingdings" w:hAnsi="Wingdings" w:hint="default"/>
      </w:rPr>
    </w:lvl>
    <w:lvl w:ilvl="4" w:tplc="B3D8F8FC" w:tentative="1">
      <w:start w:val="1"/>
      <w:numFmt w:val="bullet"/>
      <w:lvlText w:val=""/>
      <w:lvlJc w:val="left"/>
      <w:pPr>
        <w:tabs>
          <w:tab w:val="num" w:pos="3600"/>
        </w:tabs>
        <w:ind w:left="3600" w:hanging="360"/>
      </w:pPr>
      <w:rPr>
        <w:rFonts w:ascii="Wingdings" w:hAnsi="Wingdings" w:hint="default"/>
      </w:rPr>
    </w:lvl>
    <w:lvl w:ilvl="5" w:tplc="A7A88226" w:tentative="1">
      <w:start w:val="1"/>
      <w:numFmt w:val="bullet"/>
      <w:lvlText w:val=""/>
      <w:lvlJc w:val="left"/>
      <w:pPr>
        <w:tabs>
          <w:tab w:val="num" w:pos="4320"/>
        </w:tabs>
        <w:ind w:left="4320" w:hanging="360"/>
      </w:pPr>
      <w:rPr>
        <w:rFonts w:ascii="Wingdings" w:hAnsi="Wingdings" w:hint="default"/>
      </w:rPr>
    </w:lvl>
    <w:lvl w:ilvl="6" w:tplc="5EB48C52" w:tentative="1">
      <w:start w:val="1"/>
      <w:numFmt w:val="bullet"/>
      <w:lvlText w:val=""/>
      <w:lvlJc w:val="left"/>
      <w:pPr>
        <w:tabs>
          <w:tab w:val="num" w:pos="5040"/>
        </w:tabs>
        <w:ind w:left="5040" w:hanging="360"/>
      </w:pPr>
      <w:rPr>
        <w:rFonts w:ascii="Wingdings" w:hAnsi="Wingdings" w:hint="default"/>
      </w:rPr>
    </w:lvl>
    <w:lvl w:ilvl="7" w:tplc="99F03022" w:tentative="1">
      <w:start w:val="1"/>
      <w:numFmt w:val="bullet"/>
      <w:lvlText w:val=""/>
      <w:lvlJc w:val="left"/>
      <w:pPr>
        <w:tabs>
          <w:tab w:val="num" w:pos="5760"/>
        </w:tabs>
        <w:ind w:left="5760" w:hanging="360"/>
      </w:pPr>
      <w:rPr>
        <w:rFonts w:ascii="Wingdings" w:hAnsi="Wingdings" w:hint="default"/>
      </w:rPr>
    </w:lvl>
    <w:lvl w:ilvl="8" w:tplc="179AADBC" w:tentative="1">
      <w:start w:val="1"/>
      <w:numFmt w:val="bullet"/>
      <w:lvlText w:val=""/>
      <w:lvlJc w:val="left"/>
      <w:pPr>
        <w:tabs>
          <w:tab w:val="num" w:pos="6480"/>
        </w:tabs>
        <w:ind w:left="6480" w:hanging="360"/>
      </w:pPr>
      <w:rPr>
        <w:rFonts w:ascii="Wingdings" w:hAnsi="Wingdings" w:hint="default"/>
      </w:rPr>
    </w:lvl>
  </w:abstractNum>
  <w:abstractNum w:abstractNumId="3">
    <w:nsid w:val="246314B9"/>
    <w:multiLevelType w:val="hybridMultilevel"/>
    <w:tmpl w:val="46547BA2"/>
    <w:lvl w:ilvl="0" w:tplc="1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667168"/>
    <w:multiLevelType w:val="hybridMultilevel"/>
    <w:tmpl w:val="0136BF0A"/>
    <w:lvl w:ilvl="0" w:tplc="8194AF5E">
      <w:start w:val="1"/>
      <w:numFmt w:val="bullet"/>
      <w:lvlText w:val=""/>
      <w:lvlJc w:val="left"/>
      <w:pPr>
        <w:tabs>
          <w:tab w:val="num" w:pos="720"/>
        </w:tabs>
        <w:ind w:left="720" w:hanging="360"/>
      </w:pPr>
      <w:rPr>
        <w:rFonts w:ascii="Wingdings" w:hAnsi="Wingdings" w:hint="default"/>
      </w:rPr>
    </w:lvl>
    <w:lvl w:ilvl="1" w:tplc="4DB21744" w:tentative="1">
      <w:start w:val="1"/>
      <w:numFmt w:val="bullet"/>
      <w:lvlText w:val=""/>
      <w:lvlJc w:val="left"/>
      <w:pPr>
        <w:tabs>
          <w:tab w:val="num" w:pos="1440"/>
        </w:tabs>
        <w:ind w:left="1440" w:hanging="360"/>
      </w:pPr>
      <w:rPr>
        <w:rFonts w:ascii="Wingdings" w:hAnsi="Wingdings" w:hint="default"/>
      </w:rPr>
    </w:lvl>
    <w:lvl w:ilvl="2" w:tplc="CBAAC224" w:tentative="1">
      <w:start w:val="1"/>
      <w:numFmt w:val="bullet"/>
      <w:lvlText w:val=""/>
      <w:lvlJc w:val="left"/>
      <w:pPr>
        <w:tabs>
          <w:tab w:val="num" w:pos="2160"/>
        </w:tabs>
        <w:ind w:left="2160" w:hanging="360"/>
      </w:pPr>
      <w:rPr>
        <w:rFonts w:ascii="Wingdings" w:hAnsi="Wingdings" w:hint="default"/>
      </w:rPr>
    </w:lvl>
    <w:lvl w:ilvl="3" w:tplc="8ACC5BE4" w:tentative="1">
      <w:start w:val="1"/>
      <w:numFmt w:val="bullet"/>
      <w:lvlText w:val=""/>
      <w:lvlJc w:val="left"/>
      <w:pPr>
        <w:tabs>
          <w:tab w:val="num" w:pos="2880"/>
        </w:tabs>
        <w:ind w:left="2880" w:hanging="360"/>
      </w:pPr>
      <w:rPr>
        <w:rFonts w:ascii="Wingdings" w:hAnsi="Wingdings" w:hint="default"/>
      </w:rPr>
    </w:lvl>
    <w:lvl w:ilvl="4" w:tplc="B880A7CE" w:tentative="1">
      <w:start w:val="1"/>
      <w:numFmt w:val="bullet"/>
      <w:lvlText w:val=""/>
      <w:lvlJc w:val="left"/>
      <w:pPr>
        <w:tabs>
          <w:tab w:val="num" w:pos="3600"/>
        </w:tabs>
        <w:ind w:left="3600" w:hanging="360"/>
      </w:pPr>
      <w:rPr>
        <w:rFonts w:ascii="Wingdings" w:hAnsi="Wingdings" w:hint="default"/>
      </w:rPr>
    </w:lvl>
    <w:lvl w:ilvl="5" w:tplc="0756F2E4" w:tentative="1">
      <w:start w:val="1"/>
      <w:numFmt w:val="bullet"/>
      <w:lvlText w:val=""/>
      <w:lvlJc w:val="left"/>
      <w:pPr>
        <w:tabs>
          <w:tab w:val="num" w:pos="4320"/>
        </w:tabs>
        <w:ind w:left="4320" w:hanging="360"/>
      </w:pPr>
      <w:rPr>
        <w:rFonts w:ascii="Wingdings" w:hAnsi="Wingdings" w:hint="default"/>
      </w:rPr>
    </w:lvl>
    <w:lvl w:ilvl="6" w:tplc="A8E02CE2" w:tentative="1">
      <w:start w:val="1"/>
      <w:numFmt w:val="bullet"/>
      <w:lvlText w:val=""/>
      <w:lvlJc w:val="left"/>
      <w:pPr>
        <w:tabs>
          <w:tab w:val="num" w:pos="5040"/>
        </w:tabs>
        <w:ind w:left="5040" w:hanging="360"/>
      </w:pPr>
      <w:rPr>
        <w:rFonts w:ascii="Wingdings" w:hAnsi="Wingdings" w:hint="default"/>
      </w:rPr>
    </w:lvl>
    <w:lvl w:ilvl="7" w:tplc="304ADAFA" w:tentative="1">
      <w:start w:val="1"/>
      <w:numFmt w:val="bullet"/>
      <w:lvlText w:val=""/>
      <w:lvlJc w:val="left"/>
      <w:pPr>
        <w:tabs>
          <w:tab w:val="num" w:pos="5760"/>
        </w:tabs>
        <w:ind w:left="5760" w:hanging="360"/>
      </w:pPr>
      <w:rPr>
        <w:rFonts w:ascii="Wingdings" w:hAnsi="Wingdings" w:hint="default"/>
      </w:rPr>
    </w:lvl>
    <w:lvl w:ilvl="8" w:tplc="4A5AAFA8" w:tentative="1">
      <w:start w:val="1"/>
      <w:numFmt w:val="bullet"/>
      <w:lvlText w:val=""/>
      <w:lvlJc w:val="left"/>
      <w:pPr>
        <w:tabs>
          <w:tab w:val="num" w:pos="6480"/>
        </w:tabs>
        <w:ind w:left="6480" w:hanging="360"/>
      </w:pPr>
      <w:rPr>
        <w:rFonts w:ascii="Wingdings" w:hAnsi="Wingdings" w:hint="default"/>
      </w:rPr>
    </w:lvl>
  </w:abstractNum>
  <w:abstractNum w:abstractNumId="5">
    <w:nsid w:val="2FBE3FF6"/>
    <w:multiLevelType w:val="hybridMultilevel"/>
    <w:tmpl w:val="DFB23C42"/>
    <w:lvl w:ilvl="0" w:tplc="3970ECD8">
      <w:start w:val="1"/>
      <w:numFmt w:val="bullet"/>
      <w:lvlText w:val=""/>
      <w:lvlJc w:val="left"/>
      <w:pPr>
        <w:tabs>
          <w:tab w:val="num" w:pos="720"/>
        </w:tabs>
        <w:ind w:left="720" w:hanging="360"/>
      </w:pPr>
      <w:rPr>
        <w:rFonts w:ascii="Wingdings" w:hAnsi="Wingdings" w:hint="default"/>
      </w:rPr>
    </w:lvl>
    <w:lvl w:ilvl="1" w:tplc="9A2AA456" w:tentative="1">
      <w:start w:val="1"/>
      <w:numFmt w:val="bullet"/>
      <w:lvlText w:val=""/>
      <w:lvlJc w:val="left"/>
      <w:pPr>
        <w:tabs>
          <w:tab w:val="num" w:pos="1440"/>
        </w:tabs>
        <w:ind w:left="1440" w:hanging="360"/>
      </w:pPr>
      <w:rPr>
        <w:rFonts w:ascii="Wingdings" w:hAnsi="Wingdings" w:hint="default"/>
      </w:rPr>
    </w:lvl>
    <w:lvl w:ilvl="2" w:tplc="17A2E7D8" w:tentative="1">
      <w:start w:val="1"/>
      <w:numFmt w:val="bullet"/>
      <w:lvlText w:val=""/>
      <w:lvlJc w:val="left"/>
      <w:pPr>
        <w:tabs>
          <w:tab w:val="num" w:pos="2160"/>
        </w:tabs>
        <w:ind w:left="2160" w:hanging="360"/>
      </w:pPr>
      <w:rPr>
        <w:rFonts w:ascii="Wingdings" w:hAnsi="Wingdings" w:hint="default"/>
      </w:rPr>
    </w:lvl>
    <w:lvl w:ilvl="3" w:tplc="C986B192" w:tentative="1">
      <w:start w:val="1"/>
      <w:numFmt w:val="bullet"/>
      <w:lvlText w:val=""/>
      <w:lvlJc w:val="left"/>
      <w:pPr>
        <w:tabs>
          <w:tab w:val="num" w:pos="2880"/>
        </w:tabs>
        <w:ind w:left="2880" w:hanging="360"/>
      </w:pPr>
      <w:rPr>
        <w:rFonts w:ascii="Wingdings" w:hAnsi="Wingdings" w:hint="default"/>
      </w:rPr>
    </w:lvl>
    <w:lvl w:ilvl="4" w:tplc="9EF839BC" w:tentative="1">
      <w:start w:val="1"/>
      <w:numFmt w:val="bullet"/>
      <w:lvlText w:val=""/>
      <w:lvlJc w:val="left"/>
      <w:pPr>
        <w:tabs>
          <w:tab w:val="num" w:pos="3600"/>
        </w:tabs>
        <w:ind w:left="3600" w:hanging="360"/>
      </w:pPr>
      <w:rPr>
        <w:rFonts w:ascii="Wingdings" w:hAnsi="Wingdings" w:hint="default"/>
      </w:rPr>
    </w:lvl>
    <w:lvl w:ilvl="5" w:tplc="35A092D6" w:tentative="1">
      <w:start w:val="1"/>
      <w:numFmt w:val="bullet"/>
      <w:lvlText w:val=""/>
      <w:lvlJc w:val="left"/>
      <w:pPr>
        <w:tabs>
          <w:tab w:val="num" w:pos="4320"/>
        </w:tabs>
        <w:ind w:left="4320" w:hanging="360"/>
      </w:pPr>
      <w:rPr>
        <w:rFonts w:ascii="Wingdings" w:hAnsi="Wingdings" w:hint="default"/>
      </w:rPr>
    </w:lvl>
    <w:lvl w:ilvl="6" w:tplc="938010F4" w:tentative="1">
      <w:start w:val="1"/>
      <w:numFmt w:val="bullet"/>
      <w:lvlText w:val=""/>
      <w:lvlJc w:val="left"/>
      <w:pPr>
        <w:tabs>
          <w:tab w:val="num" w:pos="5040"/>
        </w:tabs>
        <w:ind w:left="5040" w:hanging="360"/>
      </w:pPr>
      <w:rPr>
        <w:rFonts w:ascii="Wingdings" w:hAnsi="Wingdings" w:hint="default"/>
      </w:rPr>
    </w:lvl>
    <w:lvl w:ilvl="7" w:tplc="B66E1BFA" w:tentative="1">
      <w:start w:val="1"/>
      <w:numFmt w:val="bullet"/>
      <w:lvlText w:val=""/>
      <w:lvlJc w:val="left"/>
      <w:pPr>
        <w:tabs>
          <w:tab w:val="num" w:pos="5760"/>
        </w:tabs>
        <w:ind w:left="5760" w:hanging="360"/>
      </w:pPr>
      <w:rPr>
        <w:rFonts w:ascii="Wingdings" w:hAnsi="Wingdings" w:hint="default"/>
      </w:rPr>
    </w:lvl>
    <w:lvl w:ilvl="8" w:tplc="AD4019F0" w:tentative="1">
      <w:start w:val="1"/>
      <w:numFmt w:val="bullet"/>
      <w:lvlText w:val=""/>
      <w:lvlJc w:val="left"/>
      <w:pPr>
        <w:tabs>
          <w:tab w:val="num" w:pos="6480"/>
        </w:tabs>
        <w:ind w:left="6480" w:hanging="360"/>
      </w:pPr>
      <w:rPr>
        <w:rFonts w:ascii="Wingdings" w:hAnsi="Wingdings" w:hint="default"/>
      </w:rPr>
    </w:lvl>
  </w:abstractNum>
  <w:abstractNum w:abstractNumId="6">
    <w:nsid w:val="3B5F6548"/>
    <w:multiLevelType w:val="hybridMultilevel"/>
    <w:tmpl w:val="A798FDD4"/>
    <w:lvl w:ilvl="0" w:tplc="345E7FF0">
      <w:start w:val="1"/>
      <w:numFmt w:val="bullet"/>
      <w:lvlText w:val=""/>
      <w:lvlJc w:val="left"/>
      <w:pPr>
        <w:tabs>
          <w:tab w:val="num" w:pos="720"/>
        </w:tabs>
        <w:ind w:left="720" w:hanging="360"/>
      </w:pPr>
      <w:rPr>
        <w:rFonts w:ascii="Wingdings" w:hAnsi="Wingdings" w:hint="default"/>
      </w:rPr>
    </w:lvl>
    <w:lvl w:ilvl="1" w:tplc="B1D00FD8" w:tentative="1">
      <w:start w:val="1"/>
      <w:numFmt w:val="bullet"/>
      <w:lvlText w:val=""/>
      <w:lvlJc w:val="left"/>
      <w:pPr>
        <w:tabs>
          <w:tab w:val="num" w:pos="1440"/>
        </w:tabs>
        <w:ind w:left="1440" w:hanging="360"/>
      </w:pPr>
      <w:rPr>
        <w:rFonts w:ascii="Wingdings" w:hAnsi="Wingdings" w:hint="default"/>
      </w:rPr>
    </w:lvl>
    <w:lvl w:ilvl="2" w:tplc="2A42A32C" w:tentative="1">
      <w:start w:val="1"/>
      <w:numFmt w:val="bullet"/>
      <w:lvlText w:val=""/>
      <w:lvlJc w:val="left"/>
      <w:pPr>
        <w:tabs>
          <w:tab w:val="num" w:pos="2160"/>
        </w:tabs>
        <w:ind w:left="2160" w:hanging="360"/>
      </w:pPr>
      <w:rPr>
        <w:rFonts w:ascii="Wingdings" w:hAnsi="Wingdings" w:hint="default"/>
      </w:rPr>
    </w:lvl>
    <w:lvl w:ilvl="3" w:tplc="4F72423A" w:tentative="1">
      <w:start w:val="1"/>
      <w:numFmt w:val="bullet"/>
      <w:lvlText w:val=""/>
      <w:lvlJc w:val="left"/>
      <w:pPr>
        <w:tabs>
          <w:tab w:val="num" w:pos="2880"/>
        </w:tabs>
        <w:ind w:left="2880" w:hanging="360"/>
      </w:pPr>
      <w:rPr>
        <w:rFonts w:ascii="Wingdings" w:hAnsi="Wingdings" w:hint="default"/>
      </w:rPr>
    </w:lvl>
    <w:lvl w:ilvl="4" w:tplc="3C8E7828" w:tentative="1">
      <w:start w:val="1"/>
      <w:numFmt w:val="bullet"/>
      <w:lvlText w:val=""/>
      <w:lvlJc w:val="left"/>
      <w:pPr>
        <w:tabs>
          <w:tab w:val="num" w:pos="3600"/>
        </w:tabs>
        <w:ind w:left="3600" w:hanging="360"/>
      </w:pPr>
      <w:rPr>
        <w:rFonts w:ascii="Wingdings" w:hAnsi="Wingdings" w:hint="default"/>
      </w:rPr>
    </w:lvl>
    <w:lvl w:ilvl="5" w:tplc="F11687BC" w:tentative="1">
      <w:start w:val="1"/>
      <w:numFmt w:val="bullet"/>
      <w:lvlText w:val=""/>
      <w:lvlJc w:val="left"/>
      <w:pPr>
        <w:tabs>
          <w:tab w:val="num" w:pos="4320"/>
        </w:tabs>
        <w:ind w:left="4320" w:hanging="360"/>
      </w:pPr>
      <w:rPr>
        <w:rFonts w:ascii="Wingdings" w:hAnsi="Wingdings" w:hint="default"/>
      </w:rPr>
    </w:lvl>
    <w:lvl w:ilvl="6" w:tplc="BC6605F2" w:tentative="1">
      <w:start w:val="1"/>
      <w:numFmt w:val="bullet"/>
      <w:lvlText w:val=""/>
      <w:lvlJc w:val="left"/>
      <w:pPr>
        <w:tabs>
          <w:tab w:val="num" w:pos="5040"/>
        </w:tabs>
        <w:ind w:left="5040" w:hanging="360"/>
      </w:pPr>
      <w:rPr>
        <w:rFonts w:ascii="Wingdings" w:hAnsi="Wingdings" w:hint="default"/>
      </w:rPr>
    </w:lvl>
    <w:lvl w:ilvl="7" w:tplc="602AA632" w:tentative="1">
      <w:start w:val="1"/>
      <w:numFmt w:val="bullet"/>
      <w:lvlText w:val=""/>
      <w:lvlJc w:val="left"/>
      <w:pPr>
        <w:tabs>
          <w:tab w:val="num" w:pos="5760"/>
        </w:tabs>
        <w:ind w:left="5760" w:hanging="360"/>
      </w:pPr>
      <w:rPr>
        <w:rFonts w:ascii="Wingdings" w:hAnsi="Wingdings" w:hint="default"/>
      </w:rPr>
    </w:lvl>
    <w:lvl w:ilvl="8" w:tplc="3F400D42" w:tentative="1">
      <w:start w:val="1"/>
      <w:numFmt w:val="bullet"/>
      <w:lvlText w:val=""/>
      <w:lvlJc w:val="left"/>
      <w:pPr>
        <w:tabs>
          <w:tab w:val="num" w:pos="6480"/>
        </w:tabs>
        <w:ind w:left="6480" w:hanging="360"/>
      </w:pPr>
      <w:rPr>
        <w:rFonts w:ascii="Wingdings" w:hAnsi="Wingdings" w:hint="default"/>
      </w:rPr>
    </w:lvl>
  </w:abstractNum>
  <w:abstractNum w:abstractNumId="7">
    <w:nsid w:val="6D994A13"/>
    <w:multiLevelType w:val="hybridMultilevel"/>
    <w:tmpl w:val="0076F6BA"/>
    <w:lvl w:ilvl="0" w:tplc="C19C2A78">
      <w:start w:val="1"/>
      <w:numFmt w:val="bullet"/>
      <w:lvlText w:val=""/>
      <w:lvlJc w:val="left"/>
      <w:pPr>
        <w:tabs>
          <w:tab w:val="num" w:pos="720"/>
        </w:tabs>
        <w:ind w:left="720" w:hanging="360"/>
      </w:pPr>
      <w:rPr>
        <w:rFonts w:ascii="Wingdings" w:hAnsi="Wingdings" w:hint="default"/>
      </w:rPr>
    </w:lvl>
    <w:lvl w:ilvl="1" w:tplc="97BEEA66" w:tentative="1">
      <w:start w:val="1"/>
      <w:numFmt w:val="bullet"/>
      <w:lvlText w:val=""/>
      <w:lvlJc w:val="left"/>
      <w:pPr>
        <w:tabs>
          <w:tab w:val="num" w:pos="1440"/>
        </w:tabs>
        <w:ind w:left="1440" w:hanging="360"/>
      </w:pPr>
      <w:rPr>
        <w:rFonts w:ascii="Wingdings" w:hAnsi="Wingdings" w:hint="default"/>
      </w:rPr>
    </w:lvl>
    <w:lvl w:ilvl="2" w:tplc="0D86181A" w:tentative="1">
      <w:start w:val="1"/>
      <w:numFmt w:val="bullet"/>
      <w:lvlText w:val=""/>
      <w:lvlJc w:val="left"/>
      <w:pPr>
        <w:tabs>
          <w:tab w:val="num" w:pos="2160"/>
        </w:tabs>
        <w:ind w:left="2160" w:hanging="360"/>
      </w:pPr>
      <w:rPr>
        <w:rFonts w:ascii="Wingdings" w:hAnsi="Wingdings" w:hint="default"/>
      </w:rPr>
    </w:lvl>
    <w:lvl w:ilvl="3" w:tplc="25DA74A0" w:tentative="1">
      <w:start w:val="1"/>
      <w:numFmt w:val="bullet"/>
      <w:lvlText w:val=""/>
      <w:lvlJc w:val="left"/>
      <w:pPr>
        <w:tabs>
          <w:tab w:val="num" w:pos="2880"/>
        </w:tabs>
        <w:ind w:left="2880" w:hanging="360"/>
      </w:pPr>
      <w:rPr>
        <w:rFonts w:ascii="Wingdings" w:hAnsi="Wingdings" w:hint="default"/>
      </w:rPr>
    </w:lvl>
    <w:lvl w:ilvl="4" w:tplc="A8FC6F8E" w:tentative="1">
      <w:start w:val="1"/>
      <w:numFmt w:val="bullet"/>
      <w:lvlText w:val=""/>
      <w:lvlJc w:val="left"/>
      <w:pPr>
        <w:tabs>
          <w:tab w:val="num" w:pos="3600"/>
        </w:tabs>
        <w:ind w:left="3600" w:hanging="360"/>
      </w:pPr>
      <w:rPr>
        <w:rFonts w:ascii="Wingdings" w:hAnsi="Wingdings" w:hint="default"/>
      </w:rPr>
    </w:lvl>
    <w:lvl w:ilvl="5" w:tplc="2C261DB2" w:tentative="1">
      <w:start w:val="1"/>
      <w:numFmt w:val="bullet"/>
      <w:lvlText w:val=""/>
      <w:lvlJc w:val="left"/>
      <w:pPr>
        <w:tabs>
          <w:tab w:val="num" w:pos="4320"/>
        </w:tabs>
        <w:ind w:left="4320" w:hanging="360"/>
      </w:pPr>
      <w:rPr>
        <w:rFonts w:ascii="Wingdings" w:hAnsi="Wingdings" w:hint="default"/>
      </w:rPr>
    </w:lvl>
    <w:lvl w:ilvl="6" w:tplc="7BECA77C" w:tentative="1">
      <w:start w:val="1"/>
      <w:numFmt w:val="bullet"/>
      <w:lvlText w:val=""/>
      <w:lvlJc w:val="left"/>
      <w:pPr>
        <w:tabs>
          <w:tab w:val="num" w:pos="5040"/>
        </w:tabs>
        <w:ind w:left="5040" w:hanging="360"/>
      </w:pPr>
      <w:rPr>
        <w:rFonts w:ascii="Wingdings" w:hAnsi="Wingdings" w:hint="default"/>
      </w:rPr>
    </w:lvl>
    <w:lvl w:ilvl="7" w:tplc="B888C590" w:tentative="1">
      <w:start w:val="1"/>
      <w:numFmt w:val="bullet"/>
      <w:lvlText w:val=""/>
      <w:lvlJc w:val="left"/>
      <w:pPr>
        <w:tabs>
          <w:tab w:val="num" w:pos="5760"/>
        </w:tabs>
        <w:ind w:left="5760" w:hanging="360"/>
      </w:pPr>
      <w:rPr>
        <w:rFonts w:ascii="Wingdings" w:hAnsi="Wingdings" w:hint="default"/>
      </w:rPr>
    </w:lvl>
    <w:lvl w:ilvl="8" w:tplc="D0000B48" w:tentative="1">
      <w:start w:val="1"/>
      <w:numFmt w:val="bullet"/>
      <w:lvlText w:val=""/>
      <w:lvlJc w:val="left"/>
      <w:pPr>
        <w:tabs>
          <w:tab w:val="num" w:pos="6480"/>
        </w:tabs>
        <w:ind w:left="6480" w:hanging="360"/>
      </w:pPr>
      <w:rPr>
        <w:rFonts w:ascii="Wingdings" w:hAnsi="Wingdings" w:hint="default"/>
      </w:rPr>
    </w:lvl>
  </w:abstractNum>
  <w:abstractNum w:abstractNumId="8">
    <w:nsid w:val="795F12B4"/>
    <w:multiLevelType w:val="hybridMultilevel"/>
    <w:tmpl w:val="8D103B86"/>
    <w:lvl w:ilvl="0" w:tplc="D996E94E">
      <w:start w:val="1"/>
      <w:numFmt w:val="bullet"/>
      <w:lvlText w:val=""/>
      <w:lvlJc w:val="left"/>
      <w:pPr>
        <w:tabs>
          <w:tab w:val="num" w:pos="720"/>
        </w:tabs>
        <w:ind w:left="720" w:hanging="360"/>
      </w:pPr>
      <w:rPr>
        <w:rFonts w:ascii="Wingdings" w:hAnsi="Wingdings" w:hint="default"/>
      </w:rPr>
    </w:lvl>
    <w:lvl w:ilvl="1" w:tplc="05A269A0" w:tentative="1">
      <w:start w:val="1"/>
      <w:numFmt w:val="bullet"/>
      <w:lvlText w:val=""/>
      <w:lvlJc w:val="left"/>
      <w:pPr>
        <w:tabs>
          <w:tab w:val="num" w:pos="1440"/>
        </w:tabs>
        <w:ind w:left="1440" w:hanging="360"/>
      </w:pPr>
      <w:rPr>
        <w:rFonts w:ascii="Wingdings" w:hAnsi="Wingdings" w:hint="default"/>
      </w:rPr>
    </w:lvl>
    <w:lvl w:ilvl="2" w:tplc="B11E541A" w:tentative="1">
      <w:start w:val="1"/>
      <w:numFmt w:val="bullet"/>
      <w:lvlText w:val=""/>
      <w:lvlJc w:val="left"/>
      <w:pPr>
        <w:tabs>
          <w:tab w:val="num" w:pos="2160"/>
        </w:tabs>
        <w:ind w:left="2160" w:hanging="360"/>
      </w:pPr>
      <w:rPr>
        <w:rFonts w:ascii="Wingdings" w:hAnsi="Wingdings" w:hint="default"/>
      </w:rPr>
    </w:lvl>
    <w:lvl w:ilvl="3" w:tplc="051C4A06" w:tentative="1">
      <w:start w:val="1"/>
      <w:numFmt w:val="bullet"/>
      <w:lvlText w:val=""/>
      <w:lvlJc w:val="left"/>
      <w:pPr>
        <w:tabs>
          <w:tab w:val="num" w:pos="2880"/>
        </w:tabs>
        <w:ind w:left="2880" w:hanging="360"/>
      </w:pPr>
      <w:rPr>
        <w:rFonts w:ascii="Wingdings" w:hAnsi="Wingdings" w:hint="default"/>
      </w:rPr>
    </w:lvl>
    <w:lvl w:ilvl="4" w:tplc="3B6AC72C" w:tentative="1">
      <w:start w:val="1"/>
      <w:numFmt w:val="bullet"/>
      <w:lvlText w:val=""/>
      <w:lvlJc w:val="left"/>
      <w:pPr>
        <w:tabs>
          <w:tab w:val="num" w:pos="3600"/>
        </w:tabs>
        <w:ind w:left="3600" w:hanging="360"/>
      </w:pPr>
      <w:rPr>
        <w:rFonts w:ascii="Wingdings" w:hAnsi="Wingdings" w:hint="default"/>
      </w:rPr>
    </w:lvl>
    <w:lvl w:ilvl="5" w:tplc="948E7296" w:tentative="1">
      <w:start w:val="1"/>
      <w:numFmt w:val="bullet"/>
      <w:lvlText w:val=""/>
      <w:lvlJc w:val="left"/>
      <w:pPr>
        <w:tabs>
          <w:tab w:val="num" w:pos="4320"/>
        </w:tabs>
        <w:ind w:left="4320" w:hanging="360"/>
      </w:pPr>
      <w:rPr>
        <w:rFonts w:ascii="Wingdings" w:hAnsi="Wingdings" w:hint="default"/>
      </w:rPr>
    </w:lvl>
    <w:lvl w:ilvl="6" w:tplc="67E8BB38" w:tentative="1">
      <w:start w:val="1"/>
      <w:numFmt w:val="bullet"/>
      <w:lvlText w:val=""/>
      <w:lvlJc w:val="left"/>
      <w:pPr>
        <w:tabs>
          <w:tab w:val="num" w:pos="5040"/>
        </w:tabs>
        <w:ind w:left="5040" w:hanging="360"/>
      </w:pPr>
      <w:rPr>
        <w:rFonts w:ascii="Wingdings" w:hAnsi="Wingdings" w:hint="default"/>
      </w:rPr>
    </w:lvl>
    <w:lvl w:ilvl="7" w:tplc="DE62E71C" w:tentative="1">
      <w:start w:val="1"/>
      <w:numFmt w:val="bullet"/>
      <w:lvlText w:val=""/>
      <w:lvlJc w:val="left"/>
      <w:pPr>
        <w:tabs>
          <w:tab w:val="num" w:pos="5760"/>
        </w:tabs>
        <w:ind w:left="5760" w:hanging="360"/>
      </w:pPr>
      <w:rPr>
        <w:rFonts w:ascii="Wingdings" w:hAnsi="Wingdings" w:hint="default"/>
      </w:rPr>
    </w:lvl>
    <w:lvl w:ilvl="8" w:tplc="AC4C72F0" w:tentative="1">
      <w:start w:val="1"/>
      <w:numFmt w:val="bullet"/>
      <w:lvlText w:val=""/>
      <w:lvlJc w:val="left"/>
      <w:pPr>
        <w:tabs>
          <w:tab w:val="num" w:pos="6480"/>
        </w:tabs>
        <w:ind w:left="6480" w:hanging="360"/>
      </w:pPr>
      <w:rPr>
        <w:rFonts w:ascii="Wingdings" w:hAnsi="Wingdings" w:hint="default"/>
      </w:rPr>
    </w:lvl>
  </w:abstractNum>
  <w:abstractNum w:abstractNumId="9">
    <w:nsid w:val="7A887B92"/>
    <w:multiLevelType w:val="hybridMultilevel"/>
    <w:tmpl w:val="E22C4D40"/>
    <w:lvl w:ilvl="0" w:tplc="1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7"/>
  </w:num>
  <w:num w:numId="5">
    <w:abstractNumId w:val="5"/>
  </w:num>
  <w:num w:numId="6">
    <w:abstractNumId w:val="4"/>
  </w:num>
  <w:num w:numId="7">
    <w:abstractNumId w:val="6"/>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B68"/>
    <w:rsid w:val="00064FD6"/>
    <w:rsid w:val="00087151"/>
    <w:rsid w:val="00222D21"/>
    <w:rsid w:val="00226D4E"/>
    <w:rsid w:val="00242824"/>
    <w:rsid w:val="002B3CBE"/>
    <w:rsid w:val="00302954"/>
    <w:rsid w:val="00363573"/>
    <w:rsid w:val="00372BA2"/>
    <w:rsid w:val="00395370"/>
    <w:rsid w:val="003C12E7"/>
    <w:rsid w:val="004304E4"/>
    <w:rsid w:val="004B27FC"/>
    <w:rsid w:val="004D0962"/>
    <w:rsid w:val="00510B68"/>
    <w:rsid w:val="005166C5"/>
    <w:rsid w:val="00556760"/>
    <w:rsid w:val="005660A9"/>
    <w:rsid w:val="005927D6"/>
    <w:rsid w:val="005A4BEF"/>
    <w:rsid w:val="0060098D"/>
    <w:rsid w:val="00617B95"/>
    <w:rsid w:val="006504E7"/>
    <w:rsid w:val="006600A3"/>
    <w:rsid w:val="00692748"/>
    <w:rsid w:val="006931BB"/>
    <w:rsid w:val="006B1AFA"/>
    <w:rsid w:val="007B7D49"/>
    <w:rsid w:val="00842C2A"/>
    <w:rsid w:val="008539C5"/>
    <w:rsid w:val="008A0B38"/>
    <w:rsid w:val="008B3290"/>
    <w:rsid w:val="008E0706"/>
    <w:rsid w:val="00902C24"/>
    <w:rsid w:val="009079C0"/>
    <w:rsid w:val="009C288E"/>
    <w:rsid w:val="00A116C9"/>
    <w:rsid w:val="00A60359"/>
    <w:rsid w:val="00AA0F59"/>
    <w:rsid w:val="00AE10B7"/>
    <w:rsid w:val="00B16A6F"/>
    <w:rsid w:val="00CA3B09"/>
    <w:rsid w:val="00CB5A73"/>
    <w:rsid w:val="00CF630D"/>
    <w:rsid w:val="00D0099C"/>
    <w:rsid w:val="00D23046"/>
    <w:rsid w:val="00D3379F"/>
    <w:rsid w:val="00D5775E"/>
    <w:rsid w:val="00D94B9A"/>
    <w:rsid w:val="00E36865"/>
    <w:rsid w:val="00E51FBA"/>
    <w:rsid w:val="00E6249A"/>
    <w:rsid w:val="00EE4392"/>
    <w:rsid w:val="00F72278"/>
    <w:rsid w:val="00FC342E"/>
    <w:rsid w:val="00FD797E"/>
    <w:rsid w:val="00FE2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202C6"/>
  <w15:docId w15:val="{A721B82E-A0B9-4ED0-8A82-CF210167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0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660A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EE4392"/>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B16A6F"/>
    <w:pPr>
      <w:ind w:left="720"/>
      <w:contextualSpacing/>
    </w:pPr>
  </w:style>
  <w:style w:type="paragraph" w:styleId="Header">
    <w:name w:val="header"/>
    <w:basedOn w:val="Normal"/>
    <w:link w:val="HeaderChar"/>
    <w:uiPriority w:val="99"/>
    <w:unhideWhenUsed/>
    <w:rsid w:val="00A60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359"/>
  </w:style>
  <w:style w:type="paragraph" w:styleId="Footer">
    <w:name w:val="footer"/>
    <w:basedOn w:val="Normal"/>
    <w:link w:val="FooterChar"/>
    <w:uiPriority w:val="99"/>
    <w:unhideWhenUsed/>
    <w:rsid w:val="00A60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359"/>
  </w:style>
  <w:style w:type="paragraph" w:styleId="BalloonText">
    <w:name w:val="Balloon Text"/>
    <w:basedOn w:val="Normal"/>
    <w:link w:val="BalloonTextChar"/>
    <w:uiPriority w:val="99"/>
    <w:semiHidden/>
    <w:unhideWhenUsed/>
    <w:rsid w:val="00064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FD6"/>
    <w:rPr>
      <w:rFonts w:ascii="Tahoma" w:hAnsi="Tahoma" w:cs="Tahoma"/>
      <w:sz w:val="16"/>
      <w:szCs w:val="16"/>
    </w:rPr>
  </w:style>
  <w:style w:type="character" w:styleId="CommentReference">
    <w:name w:val="annotation reference"/>
    <w:basedOn w:val="DefaultParagraphFont"/>
    <w:uiPriority w:val="99"/>
    <w:semiHidden/>
    <w:unhideWhenUsed/>
    <w:rsid w:val="00064FD6"/>
    <w:rPr>
      <w:sz w:val="16"/>
      <w:szCs w:val="16"/>
    </w:rPr>
  </w:style>
  <w:style w:type="paragraph" w:styleId="CommentText">
    <w:name w:val="annotation text"/>
    <w:basedOn w:val="Normal"/>
    <w:link w:val="CommentTextChar"/>
    <w:uiPriority w:val="99"/>
    <w:semiHidden/>
    <w:unhideWhenUsed/>
    <w:rsid w:val="00064FD6"/>
    <w:pPr>
      <w:spacing w:line="240" w:lineRule="auto"/>
    </w:pPr>
    <w:rPr>
      <w:sz w:val="20"/>
      <w:szCs w:val="20"/>
    </w:rPr>
  </w:style>
  <w:style w:type="character" w:customStyle="1" w:styleId="CommentTextChar">
    <w:name w:val="Comment Text Char"/>
    <w:basedOn w:val="DefaultParagraphFont"/>
    <w:link w:val="CommentText"/>
    <w:uiPriority w:val="99"/>
    <w:semiHidden/>
    <w:rsid w:val="00064FD6"/>
    <w:rPr>
      <w:sz w:val="20"/>
      <w:szCs w:val="20"/>
    </w:rPr>
  </w:style>
  <w:style w:type="paragraph" w:styleId="CommentSubject">
    <w:name w:val="annotation subject"/>
    <w:basedOn w:val="CommentText"/>
    <w:next w:val="CommentText"/>
    <w:link w:val="CommentSubjectChar"/>
    <w:uiPriority w:val="99"/>
    <w:semiHidden/>
    <w:unhideWhenUsed/>
    <w:rsid w:val="00064FD6"/>
    <w:rPr>
      <w:b/>
      <w:bCs/>
    </w:rPr>
  </w:style>
  <w:style w:type="character" w:customStyle="1" w:styleId="CommentSubjectChar">
    <w:name w:val="Comment Subject Char"/>
    <w:basedOn w:val="CommentTextChar"/>
    <w:link w:val="CommentSubject"/>
    <w:uiPriority w:val="99"/>
    <w:semiHidden/>
    <w:rsid w:val="00064F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4365">
      <w:bodyDiv w:val="1"/>
      <w:marLeft w:val="0"/>
      <w:marRight w:val="0"/>
      <w:marTop w:val="0"/>
      <w:marBottom w:val="0"/>
      <w:divBdr>
        <w:top w:val="none" w:sz="0" w:space="0" w:color="auto"/>
        <w:left w:val="none" w:sz="0" w:space="0" w:color="auto"/>
        <w:bottom w:val="none" w:sz="0" w:space="0" w:color="auto"/>
        <w:right w:val="none" w:sz="0" w:space="0" w:color="auto"/>
      </w:divBdr>
    </w:div>
    <w:div w:id="436873688">
      <w:bodyDiv w:val="1"/>
      <w:marLeft w:val="0"/>
      <w:marRight w:val="0"/>
      <w:marTop w:val="0"/>
      <w:marBottom w:val="0"/>
      <w:divBdr>
        <w:top w:val="none" w:sz="0" w:space="0" w:color="auto"/>
        <w:left w:val="none" w:sz="0" w:space="0" w:color="auto"/>
        <w:bottom w:val="none" w:sz="0" w:space="0" w:color="auto"/>
        <w:right w:val="none" w:sz="0" w:space="0" w:color="auto"/>
      </w:divBdr>
      <w:divsChild>
        <w:div w:id="207181496">
          <w:marLeft w:val="0"/>
          <w:marRight w:val="0"/>
          <w:marTop w:val="120"/>
          <w:marBottom w:val="120"/>
          <w:divBdr>
            <w:top w:val="none" w:sz="0" w:space="0" w:color="auto"/>
            <w:left w:val="none" w:sz="0" w:space="0" w:color="auto"/>
            <w:bottom w:val="none" w:sz="0" w:space="0" w:color="auto"/>
            <w:right w:val="none" w:sz="0" w:space="0" w:color="auto"/>
          </w:divBdr>
        </w:div>
        <w:div w:id="115956149">
          <w:marLeft w:val="0"/>
          <w:marRight w:val="0"/>
          <w:marTop w:val="120"/>
          <w:marBottom w:val="120"/>
          <w:divBdr>
            <w:top w:val="none" w:sz="0" w:space="0" w:color="auto"/>
            <w:left w:val="none" w:sz="0" w:space="0" w:color="auto"/>
            <w:bottom w:val="none" w:sz="0" w:space="0" w:color="auto"/>
            <w:right w:val="none" w:sz="0" w:space="0" w:color="auto"/>
          </w:divBdr>
        </w:div>
        <w:div w:id="17119660">
          <w:marLeft w:val="0"/>
          <w:marRight w:val="0"/>
          <w:marTop w:val="120"/>
          <w:marBottom w:val="120"/>
          <w:divBdr>
            <w:top w:val="none" w:sz="0" w:space="0" w:color="auto"/>
            <w:left w:val="none" w:sz="0" w:space="0" w:color="auto"/>
            <w:bottom w:val="none" w:sz="0" w:space="0" w:color="auto"/>
            <w:right w:val="none" w:sz="0" w:space="0" w:color="auto"/>
          </w:divBdr>
        </w:div>
      </w:divsChild>
    </w:div>
    <w:div w:id="547644430">
      <w:bodyDiv w:val="1"/>
      <w:marLeft w:val="0"/>
      <w:marRight w:val="0"/>
      <w:marTop w:val="0"/>
      <w:marBottom w:val="0"/>
      <w:divBdr>
        <w:top w:val="none" w:sz="0" w:space="0" w:color="auto"/>
        <w:left w:val="none" w:sz="0" w:space="0" w:color="auto"/>
        <w:bottom w:val="none" w:sz="0" w:space="0" w:color="auto"/>
        <w:right w:val="none" w:sz="0" w:space="0" w:color="auto"/>
      </w:divBdr>
    </w:div>
    <w:div w:id="648944981">
      <w:bodyDiv w:val="1"/>
      <w:marLeft w:val="0"/>
      <w:marRight w:val="0"/>
      <w:marTop w:val="0"/>
      <w:marBottom w:val="0"/>
      <w:divBdr>
        <w:top w:val="none" w:sz="0" w:space="0" w:color="auto"/>
        <w:left w:val="none" w:sz="0" w:space="0" w:color="auto"/>
        <w:bottom w:val="none" w:sz="0" w:space="0" w:color="auto"/>
        <w:right w:val="none" w:sz="0" w:space="0" w:color="auto"/>
      </w:divBdr>
    </w:div>
    <w:div w:id="665786862">
      <w:bodyDiv w:val="1"/>
      <w:marLeft w:val="0"/>
      <w:marRight w:val="0"/>
      <w:marTop w:val="0"/>
      <w:marBottom w:val="0"/>
      <w:divBdr>
        <w:top w:val="none" w:sz="0" w:space="0" w:color="auto"/>
        <w:left w:val="none" w:sz="0" w:space="0" w:color="auto"/>
        <w:bottom w:val="none" w:sz="0" w:space="0" w:color="auto"/>
        <w:right w:val="none" w:sz="0" w:space="0" w:color="auto"/>
      </w:divBdr>
      <w:divsChild>
        <w:div w:id="699664564">
          <w:marLeft w:val="0"/>
          <w:marRight w:val="0"/>
          <w:marTop w:val="120"/>
          <w:marBottom w:val="120"/>
          <w:divBdr>
            <w:top w:val="none" w:sz="0" w:space="0" w:color="auto"/>
            <w:left w:val="none" w:sz="0" w:space="0" w:color="auto"/>
            <w:bottom w:val="none" w:sz="0" w:space="0" w:color="auto"/>
            <w:right w:val="none" w:sz="0" w:space="0" w:color="auto"/>
          </w:divBdr>
        </w:div>
        <w:div w:id="1952590414">
          <w:marLeft w:val="0"/>
          <w:marRight w:val="0"/>
          <w:marTop w:val="120"/>
          <w:marBottom w:val="120"/>
          <w:divBdr>
            <w:top w:val="none" w:sz="0" w:space="0" w:color="auto"/>
            <w:left w:val="none" w:sz="0" w:space="0" w:color="auto"/>
            <w:bottom w:val="none" w:sz="0" w:space="0" w:color="auto"/>
            <w:right w:val="none" w:sz="0" w:space="0" w:color="auto"/>
          </w:divBdr>
        </w:div>
        <w:div w:id="1857309739">
          <w:marLeft w:val="0"/>
          <w:marRight w:val="0"/>
          <w:marTop w:val="120"/>
          <w:marBottom w:val="120"/>
          <w:divBdr>
            <w:top w:val="none" w:sz="0" w:space="0" w:color="auto"/>
            <w:left w:val="none" w:sz="0" w:space="0" w:color="auto"/>
            <w:bottom w:val="none" w:sz="0" w:space="0" w:color="auto"/>
            <w:right w:val="none" w:sz="0" w:space="0" w:color="auto"/>
          </w:divBdr>
        </w:div>
      </w:divsChild>
    </w:div>
    <w:div w:id="721951582">
      <w:bodyDiv w:val="1"/>
      <w:marLeft w:val="0"/>
      <w:marRight w:val="0"/>
      <w:marTop w:val="0"/>
      <w:marBottom w:val="0"/>
      <w:divBdr>
        <w:top w:val="none" w:sz="0" w:space="0" w:color="auto"/>
        <w:left w:val="none" w:sz="0" w:space="0" w:color="auto"/>
        <w:bottom w:val="none" w:sz="0" w:space="0" w:color="auto"/>
        <w:right w:val="none" w:sz="0" w:space="0" w:color="auto"/>
      </w:divBdr>
    </w:div>
    <w:div w:id="963996453">
      <w:bodyDiv w:val="1"/>
      <w:marLeft w:val="0"/>
      <w:marRight w:val="0"/>
      <w:marTop w:val="0"/>
      <w:marBottom w:val="0"/>
      <w:divBdr>
        <w:top w:val="none" w:sz="0" w:space="0" w:color="auto"/>
        <w:left w:val="none" w:sz="0" w:space="0" w:color="auto"/>
        <w:bottom w:val="none" w:sz="0" w:space="0" w:color="auto"/>
        <w:right w:val="none" w:sz="0" w:space="0" w:color="auto"/>
      </w:divBdr>
    </w:div>
    <w:div w:id="1003437199">
      <w:bodyDiv w:val="1"/>
      <w:marLeft w:val="0"/>
      <w:marRight w:val="0"/>
      <w:marTop w:val="0"/>
      <w:marBottom w:val="0"/>
      <w:divBdr>
        <w:top w:val="none" w:sz="0" w:space="0" w:color="auto"/>
        <w:left w:val="none" w:sz="0" w:space="0" w:color="auto"/>
        <w:bottom w:val="none" w:sz="0" w:space="0" w:color="auto"/>
        <w:right w:val="none" w:sz="0" w:space="0" w:color="auto"/>
      </w:divBdr>
    </w:div>
    <w:div w:id="1068649119">
      <w:bodyDiv w:val="1"/>
      <w:marLeft w:val="0"/>
      <w:marRight w:val="0"/>
      <w:marTop w:val="0"/>
      <w:marBottom w:val="0"/>
      <w:divBdr>
        <w:top w:val="none" w:sz="0" w:space="0" w:color="auto"/>
        <w:left w:val="none" w:sz="0" w:space="0" w:color="auto"/>
        <w:bottom w:val="none" w:sz="0" w:space="0" w:color="auto"/>
        <w:right w:val="none" w:sz="0" w:space="0" w:color="auto"/>
      </w:divBdr>
    </w:div>
    <w:div w:id="1103068949">
      <w:bodyDiv w:val="1"/>
      <w:marLeft w:val="0"/>
      <w:marRight w:val="0"/>
      <w:marTop w:val="0"/>
      <w:marBottom w:val="0"/>
      <w:divBdr>
        <w:top w:val="none" w:sz="0" w:space="0" w:color="auto"/>
        <w:left w:val="none" w:sz="0" w:space="0" w:color="auto"/>
        <w:bottom w:val="none" w:sz="0" w:space="0" w:color="auto"/>
        <w:right w:val="none" w:sz="0" w:space="0" w:color="auto"/>
      </w:divBdr>
    </w:div>
    <w:div w:id="1128234663">
      <w:bodyDiv w:val="1"/>
      <w:marLeft w:val="0"/>
      <w:marRight w:val="0"/>
      <w:marTop w:val="0"/>
      <w:marBottom w:val="0"/>
      <w:divBdr>
        <w:top w:val="none" w:sz="0" w:space="0" w:color="auto"/>
        <w:left w:val="none" w:sz="0" w:space="0" w:color="auto"/>
        <w:bottom w:val="none" w:sz="0" w:space="0" w:color="auto"/>
        <w:right w:val="none" w:sz="0" w:space="0" w:color="auto"/>
      </w:divBdr>
      <w:divsChild>
        <w:div w:id="1248731029">
          <w:marLeft w:val="0"/>
          <w:marRight w:val="0"/>
          <w:marTop w:val="120"/>
          <w:marBottom w:val="120"/>
          <w:divBdr>
            <w:top w:val="none" w:sz="0" w:space="0" w:color="auto"/>
            <w:left w:val="none" w:sz="0" w:space="0" w:color="auto"/>
            <w:bottom w:val="none" w:sz="0" w:space="0" w:color="auto"/>
            <w:right w:val="none" w:sz="0" w:space="0" w:color="auto"/>
          </w:divBdr>
        </w:div>
        <w:div w:id="817577905">
          <w:marLeft w:val="0"/>
          <w:marRight w:val="0"/>
          <w:marTop w:val="120"/>
          <w:marBottom w:val="120"/>
          <w:divBdr>
            <w:top w:val="none" w:sz="0" w:space="0" w:color="auto"/>
            <w:left w:val="none" w:sz="0" w:space="0" w:color="auto"/>
            <w:bottom w:val="none" w:sz="0" w:space="0" w:color="auto"/>
            <w:right w:val="none" w:sz="0" w:space="0" w:color="auto"/>
          </w:divBdr>
        </w:div>
        <w:div w:id="130176081">
          <w:marLeft w:val="0"/>
          <w:marRight w:val="0"/>
          <w:marTop w:val="120"/>
          <w:marBottom w:val="120"/>
          <w:divBdr>
            <w:top w:val="none" w:sz="0" w:space="0" w:color="auto"/>
            <w:left w:val="none" w:sz="0" w:space="0" w:color="auto"/>
            <w:bottom w:val="none" w:sz="0" w:space="0" w:color="auto"/>
            <w:right w:val="none" w:sz="0" w:space="0" w:color="auto"/>
          </w:divBdr>
        </w:div>
      </w:divsChild>
    </w:div>
    <w:div w:id="1204830044">
      <w:bodyDiv w:val="1"/>
      <w:marLeft w:val="0"/>
      <w:marRight w:val="0"/>
      <w:marTop w:val="0"/>
      <w:marBottom w:val="0"/>
      <w:divBdr>
        <w:top w:val="none" w:sz="0" w:space="0" w:color="auto"/>
        <w:left w:val="none" w:sz="0" w:space="0" w:color="auto"/>
        <w:bottom w:val="none" w:sz="0" w:space="0" w:color="auto"/>
        <w:right w:val="none" w:sz="0" w:space="0" w:color="auto"/>
      </w:divBdr>
    </w:div>
    <w:div w:id="1356997588">
      <w:bodyDiv w:val="1"/>
      <w:marLeft w:val="0"/>
      <w:marRight w:val="0"/>
      <w:marTop w:val="0"/>
      <w:marBottom w:val="0"/>
      <w:divBdr>
        <w:top w:val="none" w:sz="0" w:space="0" w:color="auto"/>
        <w:left w:val="none" w:sz="0" w:space="0" w:color="auto"/>
        <w:bottom w:val="none" w:sz="0" w:space="0" w:color="auto"/>
        <w:right w:val="none" w:sz="0" w:space="0" w:color="auto"/>
      </w:divBdr>
      <w:divsChild>
        <w:div w:id="2064057904">
          <w:marLeft w:val="0"/>
          <w:marRight w:val="0"/>
          <w:marTop w:val="120"/>
          <w:marBottom w:val="120"/>
          <w:divBdr>
            <w:top w:val="none" w:sz="0" w:space="0" w:color="auto"/>
            <w:left w:val="none" w:sz="0" w:space="0" w:color="auto"/>
            <w:bottom w:val="none" w:sz="0" w:space="0" w:color="auto"/>
            <w:right w:val="none" w:sz="0" w:space="0" w:color="auto"/>
          </w:divBdr>
        </w:div>
        <w:div w:id="1811483043">
          <w:marLeft w:val="0"/>
          <w:marRight w:val="0"/>
          <w:marTop w:val="120"/>
          <w:marBottom w:val="120"/>
          <w:divBdr>
            <w:top w:val="none" w:sz="0" w:space="0" w:color="auto"/>
            <w:left w:val="none" w:sz="0" w:space="0" w:color="auto"/>
            <w:bottom w:val="none" w:sz="0" w:space="0" w:color="auto"/>
            <w:right w:val="none" w:sz="0" w:space="0" w:color="auto"/>
          </w:divBdr>
        </w:div>
        <w:div w:id="432434039">
          <w:marLeft w:val="0"/>
          <w:marRight w:val="0"/>
          <w:marTop w:val="120"/>
          <w:marBottom w:val="120"/>
          <w:divBdr>
            <w:top w:val="none" w:sz="0" w:space="0" w:color="auto"/>
            <w:left w:val="none" w:sz="0" w:space="0" w:color="auto"/>
            <w:bottom w:val="none" w:sz="0" w:space="0" w:color="auto"/>
            <w:right w:val="none" w:sz="0" w:space="0" w:color="auto"/>
          </w:divBdr>
        </w:div>
      </w:divsChild>
    </w:div>
    <w:div w:id="1382173038">
      <w:bodyDiv w:val="1"/>
      <w:marLeft w:val="0"/>
      <w:marRight w:val="0"/>
      <w:marTop w:val="0"/>
      <w:marBottom w:val="0"/>
      <w:divBdr>
        <w:top w:val="none" w:sz="0" w:space="0" w:color="auto"/>
        <w:left w:val="none" w:sz="0" w:space="0" w:color="auto"/>
        <w:bottom w:val="none" w:sz="0" w:space="0" w:color="auto"/>
        <w:right w:val="none" w:sz="0" w:space="0" w:color="auto"/>
      </w:divBdr>
      <w:divsChild>
        <w:div w:id="28993385">
          <w:marLeft w:val="0"/>
          <w:marRight w:val="0"/>
          <w:marTop w:val="120"/>
          <w:marBottom w:val="120"/>
          <w:divBdr>
            <w:top w:val="none" w:sz="0" w:space="0" w:color="auto"/>
            <w:left w:val="none" w:sz="0" w:space="0" w:color="auto"/>
            <w:bottom w:val="none" w:sz="0" w:space="0" w:color="auto"/>
            <w:right w:val="none" w:sz="0" w:space="0" w:color="auto"/>
          </w:divBdr>
        </w:div>
        <w:div w:id="1764063079">
          <w:marLeft w:val="0"/>
          <w:marRight w:val="0"/>
          <w:marTop w:val="120"/>
          <w:marBottom w:val="120"/>
          <w:divBdr>
            <w:top w:val="none" w:sz="0" w:space="0" w:color="auto"/>
            <w:left w:val="none" w:sz="0" w:space="0" w:color="auto"/>
            <w:bottom w:val="none" w:sz="0" w:space="0" w:color="auto"/>
            <w:right w:val="none" w:sz="0" w:space="0" w:color="auto"/>
          </w:divBdr>
        </w:div>
        <w:div w:id="1540506978">
          <w:marLeft w:val="0"/>
          <w:marRight w:val="0"/>
          <w:marTop w:val="120"/>
          <w:marBottom w:val="120"/>
          <w:divBdr>
            <w:top w:val="none" w:sz="0" w:space="0" w:color="auto"/>
            <w:left w:val="none" w:sz="0" w:space="0" w:color="auto"/>
            <w:bottom w:val="none" w:sz="0" w:space="0" w:color="auto"/>
            <w:right w:val="none" w:sz="0" w:space="0" w:color="auto"/>
          </w:divBdr>
        </w:div>
      </w:divsChild>
    </w:div>
    <w:div w:id="1403478706">
      <w:bodyDiv w:val="1"/>
      <w:marLeft w:val="0"/>
      <w:marRight w:val="0"/>
      <w:marTop w:val="0"/>
      <w:marBottom w:val="0"/>
      <w:divBdr>
        <w:top w:val="none" w:sz="0" w:space="0" w:color="auto"/>
        <w:left w:val="none" w:sz="0" w:space="0" w:color="auto"/>
        <w:bottom w:val="none" w:sz="0" w:space="0" w:color="auto"/>
        <w:right w:val="none" w:sz="0" w:space="0" w:color="auto"/>
      </w:divBdr>
    </w:div>
    <w:div w:id="1420372629">
      <w:bodyDiv w:val="1"/>
      <w:marLeft w:val="0"/>
      <w:marRight w:val="0"/>
      <w:marTop w:val="0"/>
      <w:marBottom w:val="0"/>
      <w:divBdr>
        <w:top w:val="none" w:sz="0" w:space="0" w:color="auto"/>
        <w:left w:val="none" w:sz="0" w:space="0" w:color="auto"/>
        <w:bottom w:val="none" w:sz="0" w:space="0" w:color="auto"/>
        <w:right w:val="none" w:sz="0" w:space="0" w:color="auto"/>
      </w:divBdr>
      <w:divsChild>
        <w:div w:id="384379075">
          <w:marLeft w:val="0"/>
          <w:marRight w:val="0"/>
          <w:marTop w:val="120"/>
          <w:marBottom w:val="120"/>
          <w:divBdr>
            <w:top w:val="none" w:sz="0" w:space="0" w:color="auto"/>
            <w:left w:val="none" w:sz="0" w:space="0" w:color="auto"/>
            <w:bottom w:val="none" w:sz="0" w:space="0" w:color="auto"/>
            <w:right w:val="none" w:sz="0" w:space="0" w:color="auto"/>
          </w:divBdr>
        </w:div>
        <w:div w:id="1316639274">
          <w:marLeft w:val="0"/>
          <w:marRight w:val="0"/>
          <w:marTop w:val="120"/>
          <w:marBottom w:val="120"/>
          <w:divBdr>
            <w:top w:val="none" w:sz="0" w:space="0" w:color="auto"/>
            <w:left w:val="none" w:sz="0" w:space="0" w:color="auto"/>
            <w:bottom w:val="none" w:sz="0" w:space="0" w:color="auto"/>
            <w:right w:val="none" w:sz="0" w:space="0" w:color="auto"/>
          </w:divBdr>
        </w:div>
        <w:div w:id="1934313813">
          <w:marLeft w:val="0"/>
          <w:marRight w:val="0"/>
          <w:marTop w:val="120"/>
          <w:marBottom w:val="120"/>
          <w:divBdr>
            <w:top w:val="none" w:sz="0" w:space="0" w:color="auto"/>
            <w:left w:val="none" w:sz="0" w:space="0" w:color="auto"/>
            <w:bottom w:val="none" w:sz="0" w:space="0" w:color="auto"/>
            <w:right w:val="none" w:sz="0" w:space="0" w:color="auto"/>
          </w:divBdr>
        </w:div>
        <w:div w:id="2017876840">
          <w:marLeft w:val="0"/>
          <w:marRight w:val="0"/>
          <w:marTop w:val="120"/>
          <w:marBottom w:val="120"/>
          <w:divBdr>
            <w:top w:val="none" w:sz="0" w:space="0" w:color="auto"/>
            <w:left w:val="none" w:sz="0" w:space="0" w:color="auto"/>
            <w:bottom w:val="none" w:sz="0" w:space="0" w:color="auto"/>
            <w:right w:val="none" w:sz="0" w:space="0" w:color="auto"/>
          </w:divBdr>
        </w:div>
      </w:divsChild>
    </w:div>
    <w:div w:id="1475366349">
      <w:bodyDiv w:val="1"/>
      <w:marLeft w:val="0"/>
      <w:marRight w:val="0"/>
      <w:marTop w:val="0"/>
      <w:marBottom w:val="0"/>
      <w:divBdr>
        <w:top w:val="none" w:sz="0" w:space="0" w:color="auto"/>
        <w:left w:val="none" w:sz="0" w:space="0" w:color="auto"/>
        <w:bottom w:val="none" w:sz="0" w:space="0" w:color="auto"/>
        <w:right w:val="none" w:sz="0" w:space="0" w:color="auto"/>
      </w:divBdr>
    </w:div>
    <w:div w:id="1530293739">
      <w:bodyDiv w:val="1"/>
      <w:marLeft w:val="0"/>
      <w:marRight w:val="0"/>
      <w:marTop w:val="0"/>
      <w:marBottom w:val="0"/>
      <w:divBdr>
        <w:top w:val="none" w:sz="0" w:space="0" w:color="auto"/>
        <w:left w:val="none" w:sz="0" w:space="0" w:color="auto"/>
        <w:bottom w:val="none" w:sz="0" w:space="0" w:color="auto"/>
        <w:right w:val="none" w:sz="0" w:space="0" w:color="auto"/>
      </w:divBdr>
    </w:div>
    <w:div w:id="1628850286">
      <w:bodyDiv w:val="1"/>
      <w:marLeft w:val="0"/>
      <w:marRight w:val="0"/>
      <w:marTop w:val="0"/>
      <w:marBottom w:val="0"/>
      <w:divBdr>
        <w:top w:val="none" w:sz="0" w:space="0" w:color="auto"/>
        <w:left w:val="none" w:sz="0" w:space="0" w:color="auto"/>
        <w:bottom w:val="none" w:sz="0" w:space="0" w:color="auto"/>
        <w:right w:val="none" w:sz="0" w:space="0" w:color="auto"/>
      </w:divBdr>
      <w:divsChild>
        <w:div w:id="1206681293">
          <w:marLeft w:val="0"/>
          <w:marRight w:val="0"/>
          <w:marTop w:val="120"/>
          <w:marBottom w:val="120"/>
          <w:divBdr>
            <w:top w:val="none" w:sz="0" w:space="0" w:color="auto"/>
            <w:left w:val="none" w:sz="0" w:space="0" w:color="auto"/>
            <w:bottom w:val="none" w:sz="0" w:space="0" w:color="auto"/>
            <w:right w:val="none" w:sz="0" w:space="0" w:color="auto"/>
          </w:divBdr>
        </w:div>
        <w:div w:id="1223368156">
          <w:marLeft w:val="0"/>
          <w:marRight w:val="0"/>
          <w:marTop w:val="120"/>
          <w:marBottom w:val="120"/>
          <w:divBdr>
            <w:top w:val="none" w:sz="0" w:space="0" w:color="auto"/>
            <w:left w:val="none" w:sz="0" w:space="0" w:color="auto"/>
            <w:bottom w:val="none" w:sz="0" w:space="0" w:color="auto"/>
            <w:right w:val="none" w:sz="0" w:space="0" w:color="auto"/>
          </w:divBdr>
        </w:div>
        <w:div w:id="890388727">
          <w:marLeft w:val="0"/>
          <w:marRight w:val="0"/>
          <w:marTop w:val="120"/>
          <w:marBottom w:val="120"/>
          <w:divBdr>
            <w:top w:val="none" w:sz="0" w:space="0" w:color="auto"/>
            <w:left w:val="none" w:sz="0" w:space="0" w:color="auto"/>
            <w:bottom w:val="none" w:sz="0" w:space="0" w:color="auto"/>
            <w:right w:val="none" w:sz="0" w:space="0" w:color="auto"/>
          </w:divBdr>
        </w:div>
      </w:divsChild>
    </w:div>
    <w:div w:id="1835684535">
      <w:bodyDiv w:val="1"/>
      <w:marLeft w:val="0"/>
      <w:marRight w:val="0"/>
      <w:marTop w:val="0"/>
      <w:marBottom w:val="0"/>
      <w:divBdr>
        <w:top w:val="none" w:sz="0" w:space="0" w:color="auto"/>
        <w:left w:val="none" w:sz="0" w:space="0" w:color="auto"/>
        <w:bottom w:val="none" w:sz="0" w:space="0" w:color="auto"/>
        <w:right w:val="none" w:sz="0" w:space="0" w:color="auto"/>
      </w:divBdr>
    </w:div>
    <w:div w:id="1882941198">
      <w:bodyDiv w:val="1"/>
      <w:marLeft w:val="0"/>
      <w:marRight w:val="0"/>
      <w:marTop w:val="0"/>
      <w:marBottom w:val="0"/>
      <w:divBdr>
        <w:top w:val="none" w:sz="0" w:space="0" w:color="auto"/>
        <w:left w:val="none" w:sz="0" w:space="0" w:color="auto"/>
        <w:bottom w:val="none" w:sz="0" w:space="0" w:color="auto"/>
        <w:right w:val="none" w:sz="0" w:space="0" w:color="auto"/>
      </w:divBdr>
    </w:div>
    <w:div w:id="2000885744">
      <w:bodyDiv w:val="1"/>
      <w:marLeft w:val="0"/>
      <w:marRight w:val="0"/>
      <w:marTop w:val="0"/>
      <w:marBottom w:val="0"/>
      <w:divBdr>
        <w:top w:val="none" w:sz="0" w:space="0" w:color="auto"/>
        <w:left w:val="none" w:sz="0" w:space="0" w:color="auto"/>
        <w:bottom w:val="none" w:sz="0" w:space="0" w:color="auto"/>
        <w:right w:val="none" w:sz="0" w:space="0" w:color="auto"/>
      </w:divBdr>
    </w:div>
    <w:div w:id="2002543398">
      <w:bodyDiv w:val="1"/>
      <w:marLeft w:val="0"/>
      <w:marRight w:val="0"/>
      <w:marTop w:val="0"/>
      <w:marBottom w:val="0"/>
      <w:divBdr>
        <w:top w:val="none" w:sz="0" w:space="0" w:color="auto"/>
        <w:left w:val="none" w:sz="0" w:space="0" w:color="auto"/>
        <w:bottom w:val="none" w:sz="0" w:space="0" w:color="auto"/>
        <w:right w:val="none" w:sz="0" w:space="0" w:color="auto"/>
      </w:divBdr>
    </w:div>
    <w:div w:id="213289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A9A0F-E539-474D-B131-6B5B654E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2446</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Damjanov</dc:creator>
  <cp:lastModifiedBy>Ivana Damjanov</cp:lastModifiedBy>
  <cp:revision>4</cp:revision>
  <dcterms:created xsi:type="dcterms:W3CDTF">2013-09-24T05:31:00Z</dcterms:created>
  <dcterms:modified xsi:type="dcterms:W3CDTF">2013-09-24T05:33:00Z</dcterms:modified>
</cp:coreProperties>
</file>