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30052" w14:textId="71B5A35A" w:rsidR="00684548" w:rsidRPr="001836D2" w:rsidRDefault="0019740E">
      <w:pPr>
        <w:rPr>
          <w:b/>
          <w:sz w:val="28"/>
          <w:szCs w:val="28"/>
        </w:rPr>
      </w:pPr>
      <w:bookmarkStart w:id="0" w:name="_GoBack"/>
      <w:bookmarkEnd w:id="0"/>
      <w:r w:rsidRPr="001836D2">
        <w:rPr>
          <w:b/>
          <w:sz w:val="28"/>
          <w:szCs w:val="28"/>
        </w:rPr>
        <w:t xml:space="preserve">Annex 4 </w:t>
      </w:r>
      <w:r w:rsidR="001836D2" w:rsidRPr="001836D2">
        <w:rPr>
          <w:b/>
          <w:sz w:val="28"/>
          <w:szCs w:val="28"/>
        </w:rPr>
        <w:t xml:space="preserve">- </w:t>
      </w:r>
      <w:r w:rsidR="00684548" w:rsidRPr="001836D2">
        <w:rPr>
          <w:b/>
          <w:sz w:val="28"/>
          <w:szCs w:val="28"/>
        </w:rPr>
        <w:t xml:space="preserve">UNCDF </w:t>
      </w:r>
      <w:r w:rsidR="009365AF">
        <w:rPr>
          <w:b/>
          <w:sz w:val="28"/>
          <w:szCs w:val="28"/>
        </w:rPr>
        <w:t>Strategic Framework</w:t>
      </w:r>
      <w:r w:rsidR="00684548" w:rsidRPr="001836D2">
        <w:rPr>
          <w:b/>
          <w:sz w:val="28"/>
          <w:szCs w:val="28"/>
        </w:rPr>
        <w:t xml:space="preserve"> 2018 – 2021</w:t>
      </w:r>
      <w:r w:rsidR="009365AF">
        <w:rPr>
          <w:b/>
          <w:sz w:val="28"/>
          <w:szCs w:val="28"/>
        </w:rPr>
        <w:t>: Evaluation Plan</w:t>
      </w:r>
    </w:p>
    <w:p w14:paraId="279FF061" w14:textId="77777777" w:rsidR="00325B3D" w:rsidRPr="00E16CCC" w:rsidRDefault="00905B07">
      <w:pPr>
        <w:rPr>
          <w:sz w:val="24"/>
          <w:szCs w:val="24"/>
          <w:u w:val="single"/>
        </w:rPr>
      </w:pPr>
      <w:r w:rsidRPr="00E16CCC">
        <w:rPr>
          <w:sz w:val="24"/>
          <w:szCs w:val="24"/>
          <w:u w:val="single"/>
        </w:rPr>
        <w:t xml:space="preserve">1. </w:t>
      </w:r>
      <w:r w:rsidR="00325B3D" w:rsidRPr="00E16CCC">
        <w:rPr>
          <w:sz w:val="24"/>
          <w:szCs w:val="24"/>
          <w:u w:val="single"/>
        </w:rPr>
        <w:t>Introduction</w:t>
      </w:r>
    </w:p>
    <w:p w14:paraId="3DD5819F" w14:textId="77777777" w:rsidR="004822D0" w:rsidRPr="00E16CCC" w:rsidRDefault="00684548" w:rsidP="00695E2D">
      <w:pPr>
        <w:jc w:val="both"/>
        <w:rPr>
          <w:sz w:val="24"/>
          <w:szCs w:val="24"/>
        </w:rPr>
      </w:pPr>
      <w:r w:rsidRPr="00E16CCC">
        <w:rPr>
          <w:sz w:val="24"/>
          <w:szCs w:val="24"/>
        </w:rPr>
        <w:t xml:space="preserve">UNCDF is required under </w:t>
      </w:r>
      <w:r w:rsidR="00B65D48" w:rsidRPr="00E16CCC">
        <w:rPr>
          <w:sz w:val="24"/>
          <w:szCs w:val="24"/>
        </w:rPr>
        <w:t xml:space="preserve">its </w:t>
      </w:r>
      <w:r w:rsidRPr="00E16CCC">
        <w:rPr>
          <w:sz w:val="24"/>
          <w:szCs w:val="24"/>
        </w:rPr>
        <w:t>Evaluation Policy to establish</w:t>
      </w:r>
      <w:r w:rsidR="004822D0" w:rsidRPr="00E16CCC">
        <w:rPr>
          <w:sz w:val="24"/>
          <w:szCs w:val="24"/>
        </w:rPr>
        <w:t xml:space="preserve"> a ‘multi-year evaluation plan that is aligned with its strategic plan, and a biennial costed programme of work for evaluation concurrent with its overall evaluation budget’.</w:t>
      </w:r>
      <w:r w:rsidR="00EE7083" w:rsidRPr="00E16CCC">
        <w:rPr>
          <w:rStyle w:val="FootnoteReference"/>
          <w:sz w:val="24"/>
          <w:szCs w:val="24"/>
        </w:rPr>
        <w:footnoteReference w:id="1"/>
      </w:r>
    </w:p>
    <w:p w14:paraId="42DA7612" w14:textId="77777777" w:rsidR="003046BB" w:rsidRPr="00E16CCC" w:rsidRDefault="00FF7846" w:rsidP="00695E2D">
      <w:pPr>
        <w:jc w:val="both"/>
        <w:rPr>
          <w:sz w:val="24"/>
          <w:szCs w:val="24"/>
        </w:rPr>
      </w:pPr>
      <w:r w:rsidRPr="00E16CCC">
        <w:rPr>
          <w:sz w:val="24"/>
          <w:szCs w:val="24"/>
        </w:rPr>
        <w:t xml:space="preserve">This </w:t>
      </w:r>
      <w:r w:rsidR="006516FF" w:rsidRPr="00E16CCC">
        <w:rPr>
          <w:sz w:val="24"/>
          <w:szCs w:val="24"/>
        </w:rPr>
        <w:t xml:space="preserve">Annex </w:t>
      </w:r>
      <w:r w:rsidR="002E174B" w:rsidRPr="00E16CCC">
        <w:rPr>
          <w:sz w:val="24"/>
          <w:szCs w:val="24"/>
        </w:rPr>
        <w:t xml:space="preserve">describes the broader objectives that the evaluation function in UNCDF </w:t>
      </w:r>
      <w:r w:rsidR="003F1218" w:rsidRPr="00E16CCC">
        <w:rPr>
          <w:sz w:val="24"/>
          <w:szCs w:val="24"/>
        </w:rPr>
        <w:t xml:space="preserve">is expected to meet </w:t>
      </w:r>
      <w:r w:rsidR="002E174B" w:rsidRPr="00E16CCC">
        <w:rPr>
          <w:sz w:val="24"/>
          <w:szCs w:val="24"/>
        </w:rPr>
        <w:t>over this period as well as the main approaches that will be followed to achieve these objectives</w:t>
      </w:r>
      <w:r w:rsidR="003F1218" w:rsidRPr="00E16CCC">
        <w:rPr>
          <w:sz w:val="24"/>
          <w:szCs w:val="24"/>
        </w:rPr>
        <w:t xml:space="preserve">. </w:t>
      </w:r>
    </w:p>
    <w:p w14:paraId="51F06B0D" w14:textId="77777777" w:rsidR="00972754" w:rsidRPr="00E16CCC" w:rsidRDefault="00972754" w:rsidP="00695E2D">
      <w:pPr>
        <w:jc w:val="both"/>
        <w:rPr>
          <w:sz w:val="24"/>
          <w:szCs w:val="24"/>
        </w:rPr>
      </w:pPr>
      <w:r w:rsidRPr="00E16CCC">
        <w:rPr>
          <w:sz w:val="24"/>
          <w:szCs w:val="24"/>
        </w:rPr>
        <w:t xml:space="preserve">It also describes </w:t>
      </w:r>
      <w:r w:rsidR="003046BB" w:rsidRPr="00E16CCC">
        <w:rPr>
          <w:sz w:val="24"/>
          <w:szCs w:val="24"/>
        </w:rPr>
        <w:t xml:space="preserve">UNDCF’s </w:t>
      </w:r>
      <w:r w:rsidRPr="00E16CCC">
        <w:rPr>
          <w:sz w:val="24"/>
          <w:szCs w:val="24"/>
        </w:rPr>
        <w:t xml:space="preserve">plans for continuing </w:t>
      </w:r>
      <w:r w:rsidR="004E1D16" w:rsidRPr="00E16CCC">
        <w:rPr>
          <w:sz w:val="24"/>
          <w:szCs w:val="24"/>
        </w:rPr>
        <w:t xml:space="preserve">its </w:t>
      </w:r>
      <w:r w:rsidRPr="00E16CCC">
        <w:rPr>
          <w:sz w:val="24"/>
          <w:szCs w:val="24"/>
        </w:rPr>
        <w:t xml:space="preserve">partnership with UNDP’s Independent Evaluation Office, </w:t>
      </w:r>
      <w:r w:rsidR="004967DD" w:rsidRPr="00E16CCC">
        <w:rPr>
          <w:sz w:val="24"/>
          <w:szCs w:val="24"/>
        </w:rPr>
        <w:t xml:space="preserve">the continued </w:t>
      </w:r>
      <w:r w:rsidR="003046BB" w:rsidRPr="00E16CCC">
        <w:rPr>
          <w:sz w:val="24"/>
          <w:szCs w:val="24"/>
        </w:rPr>
        <w:t xml:space="preserve">participation </w:t>
      </w:r>
      <w:r w:rsidR="004967DD" w:rsidRPr="00E16CCC">
        <w:rPr>
          <w:sz w:val="24"/>
          <w:szCs w:val="24"/>
        </w:rPr>
        <w:t xml:space="preserve">of its Evaluation Unit </w:t>
      </w:r>
      <w:r w:rsidR="003046BB" w:rsidRPr="00E16CCC">
        <w:rPr>
          <w:sz w:val="24"/>
          <w:szCs w:val="24"/>
        </w:rPr>
        <w:t>in the United Nations Evaluation Group a</w:t>
      </w:r>
      <w:r w:rsidR="002F34AD" w:rsidRPr="00E16CCC">
        <w:rPr>
          <w:sz w:val="24"/>
          <w:szCs w:val="24"/>
        </w:rPr>
        <w:t>nd other international initiatives in development evaluation, as</w:t>
      </w:r>
      <w:r w:rsidR="003046BB" w:rsidRPr="00E16CCC">
        <w:rPr>
          <w:sz w:val="24"/>
          <w:szCs w:val="24"/>
        </w:rPr>
        <w:t xml:space="preserve"> well as collaboration </w:t>
      </w:r>
      <w:r w:rsidR="002F34AD" w:rsidRPr="00E16CCC">
        <w:rPr>
          <w:sz w:val="24"/>
          <w:szCs w:val="24"/>
        </w:rPr>
        <w:t xml:space="preserve">where possible </w:t>
      </w:r>
      <w:r w:rsidR="003046BB" w:rsidRPr="00E16CCC">
        <w:rPr>
          <w:sz w:val="24"/>
          <w:szCs w:val="24"/>
        </w:rPr>
        <w:t xml:space="preserve">with </w:t>
      </w:r>
      <w:r w:rsidR="00F15401" w:rsidRPr="00E16CCC">
        <w:rPr>
          <w:sz w:val="24"/>
          <w:szCs w:val="24"/>
        </w:rPr>
        <w:t xml:space="preserve">its key </w:t>
      </w:r>
      <w:r w:rsidR="002F34AD" w:rsidRPr="00E16CCC">
        <w:rPr>
          <w:sz w:val="24"/>
          <w:szCs w:val="24"/>
        </w:rPr>
        <w:t>development partners in the design and implementation of its evaluations.</w:t>
      </w:r>
      <w:r w:rsidR="00CC06BD" w:rsidRPr="00E16CCC">
        <w:rPr>
          <w:sz w:val="24"/>
          <w:szCs w:val="24"/>
        </w:rPr>
        <w:t xml:space="preserve"> </w:t>
      </w:r>
    </w:p>
    <w:p w14:paraId="0F47BBC0" w14:textId="77777777" w:rsidR="002E174B" w:rsidRPr="00E16CCC" w:rsidRDefault="003F1218" w:rsidP="00695E2D">
      <w:pPr>
        <w:jc w:val="both"/>
        <w:rPr>
          <w:sz w:val="24"/>
          <w:szCs w:val="24"/>
        </w:rPr>
      </w:pPr>
      <w:r w:rsidRPr="00E16CCC">
        <w:rPr>
          <w:sz w:val="24"/>
          <w:szCs w:val="24"/>
        </w:rPr>
        <w:t>It conclude</w:t>
      </w:r>
      <w:r w:rsidR="00927CA5" w:rsidRPr="00E16CCC">
        <w:rPr>
          <w:sz w:val="24"/>
          <w:szCs w:val="24"/>
        </w:rPr>
        <w:t>s</w:t>
      </w:r>
      <w:r w:rsidRPr="00E16CCC">
        <w:rPr>
          <w:sz w:val="24"/>
          <w:szCs w:val="24"/>
        </w:rPr>
        <w:t xml:space="preserve"> with a </w:t>
      </w:r>
      <w:r w:rsidR="002E174B" w:rsidRPr="00E16CCC">
        <w:rPr>
          <w:sz w:val="24"/>
          <w:szCs w:val="24"/>
        </w:rPr>
        <w:t>propos</w:t>
      </w:r>
      <w:r w:rsidRPr="00E16CCC">
        <w:rPr>
          <w:sz w:val="24"/>
          <w:szCs w:val="24"/>
        </w:rPr>
        <w:t>ed</w:t>
      </w:r>
      <w:r w:rsidR="002E174B" w:rsidRPr="00E16CCC">
        <w:rPr>
          <w:sz w:val="24"/>
          <w:szCs w:val="24"/>
        </w:rPr>
        <w:t xml:space="preserve"> </w:t>
      </w:r>
      <w:r w:rsidR="00E51B6A" w:rsidRPr="00E16CCC">
        <w:rPr>
          <w:sz w:val="24"/>
          <w:szCs w:val="24"/>
        </w:rPr>
        <w:t xml:space="preserve">indicative Evaluation </w:t>
      </w:r>
      <w:r w:rsidR="002E174B" w:rsidRPr="00E16CCC">
        <w:rPr>
          <w:sz w:val="24"/>
          <w:szCs w:val="24"/>
        </w:rPr>
        <w:t>Plan for the period 2018 - 2021.</w:t>
      </w:r>
      <w:r w:rsidR="00E51B6A" w:rsidRPr="00E16CCC">
        <w:rPr>
          <w:rStyle w:val="FootnoteReference"/>
          <w:sz w:val="24"/>
          <w:szCs w:val="24"/>
        </w:rPr>
        <w:footnoteReference w:id="2"/>
      </w:r>
    </w:p>
    <w:p w14:paraId="4DFA690D" w14:textId="77777777" w:rsidR="00731120" w:rsidRPr="00E16CCC" w:rsidRDefault="00905B07" w:rsidP="00695E2D">
      <w:pPr>
        <w:jc w:val="both"/>
        <w:rPr>
          <w:sz w:val="24"/>
          <w:szCs w:val="24"/>
          <w:u w:val="single"/>
        </w:rPr>
      </w:pPr>
      <w:r w:rsidRPr="00E16CCC">
        <w:rPr>
          <w:sz w:val="24"/>
          <w:szCs w:val="24"/>
          <w:u w:val="single"/>
        </w:rPr>
        <w:t xml:space="preserve">2. </w:t>
      </w:r>
      <w:r w:rsidR="00731120" w:rsidRPr="00E16CCC">
        <w:rPr>
          <w:sz w:val="24"/>
          <w:szCs w:val="24"/>
          <w:u w:val="single"/>
        </w:rPr>
        <w:t>Evaluation in the Strategic Framework 2018 - 2021</w:t>
      </w:r>
    </w:p>
    <w:p w14:paraId="1A9CE952" w14:textId="77777777" w:rsidR="00163545" w:rsidRPr="00E16CCC" w:rsidRDefault="007354F1" w:rsidP="00695E2D">
      <w:pPr>
        <w:jc w:val="both"/>
        <w:rPr>
          <w:sz w:val="24"/>
          <w:szCs w:val="24"/>
        </w:rPr>
      </w:pPr>
      <w:r w:rsidRPr="00E16CCC">
        <w:rPr>
          <w:sz w:val="24"/>
          <w:szCs w:val="24"/>
        </w:rPr>
        <w:t>I</w:t>
      </w:r>
      <w:r w:rsidR="00EC6C08" w:rsidRPr="00E16CCC">
        <w:rPr>
          <w:sz w:val="24"/>
          <w:szCs w:val="24"/>
        </w:rPr>
        <w:t>n its Strategic Framework</w:t>
      </w:r>
      <w:r w:rsidRPr="00E16CCC">
        <w:rPr>
          <w:sz w:val="24"/>
          <w:szCs w:val="24"/>
        </w:rPr>
        <w:t>,</w:t>
      </w:r>
      <w:r w:rsidR="00EC6C08" w:rsidRPr="00E16CCC">
        <w:rPr>
          <w:sz w:val="24"/>
          <w:szCs w:val="24"/>
        </w:rPr>
        <w:t xml:space="preserve"> </w:t>
      </w:r>
      <w:r w:rsidRPr="00E16CCC">
        <w:rPr>
          <w:sz w:val="24"/>
          <w:szCs w:val="24"/>
        </w:rPr>
        <w:t xml:space="preserve">UNCDF makes clear </w:t>
      </w:r>
      <w:r w:rsidR="00EC6C08" w:rsidRPr="00E16CCC">
        <w:rPr>
          <w:sz w:val="24"/>
          <w:szCs w:val="24"/>
        </w:rPr>
        <w:t>its intention to continue</w:t>
      </w:r>
      <w:r w:rsidR="0019740E" w:rsidRPr="00E16CCC">
        <w:rPr>
          <w:sz w:val="24"/>
          <w:szCs w:val="24"/>
        </w:rPr>
        <w:t xml:space="preserve"> to </w:t>
      </w:r>
      <w:r w:rsidR="00EC6C08" w:rsidRPr="00E16CCC">
        <w:rPr>
          <w:sz w:val="24"/>
          <w:szCs w:val="24"/>
        </w:rPr>
        <w:t xml:space="preserve">conduct external independent evaluation of selected key programmes and projects at the mid-term and final points of implementation. </w:t>
      </w:r>
      <w:r w:rsidR="00163545" w:rsidRPr="00E16CCC">
        <w:rPr>
          <w:sz w:val="24"/>
          <w:szCs w:val="24"/>
        </w:rPr>
        <w:t xml:space="preserve">It also commits to </w:t>
      </w:r>
      <w:r w:rsidR="009C154F" w:rsidRPr="00E16CCC">
        <w:rPr>
          <w:sz w:val="24"/>
          <w:szCs w:val="24"/>
        </w:rPr>
        <w:t xml:space="preserve">working with partners to </w:t>
      </w:r>
      <w:r w:rsidR="00163545" w:rsidRPr="00E16CCC">
        <w:rPr>
          <w:sz w:val="24"/>
          <w:szCs w:val="24"/>
        </w:rPr>
        <w:t>undertak</w:t>
      </w:r>
      <w:r w:rsidR="009C154F" w:rsidRPr="00E16CCC">
        <w:rPr>
          <w:sz w:val="24"/>
          <w:szCs w:val="24"/>
        </w:rPr>
        <w:t>e</w:t>
      </w:r>
      <w:r w:rsidR="00163545" w:rsidRPr="00E16CCC">
        <w:rPr>
          <w:sz w:val="24"/>
          <w:szCs w:val="24"/>
        </w:rPr>
        <w:t xml:space="preserve"> </w:t>
      </w:r>
      <w:r w:rsidR="00245A15" w:rsidRPr="00E16CCC">
        <w:rPr>
          <w:sz w:val="24"/>
          <w:szCs w:val="24"/>
        </w:rPr>
        <w:t>thematic and impact evaluations</w:t>
      </w:r>
      <w:r w:rsidR="00D07FD2" w:rsidRPr="00E16CCC">
        <w:rPr>
          <w:sz w:val="24"/>
          <w:szCs w:val="24"/>
        </w:rPr>
        <w:t xml:space="preserve"> that consider the long-term effects of finance on the lives and livelihood of women, and more broadly, the development of the communities in which they live.</w:t>
      </w:r>
      <w:r w:rsidR="00245A15" w:rsidRPr="00E16CCC">
        <w:rPr>
          <w:rStyle w:val="FootnoteReference"/>
          <w:sz w:val="24"/>
          <w:szCs w:val="24"/>
        </w:rPr>
        <w:footnoteReference w:id="3"/>
      </w:r>
      <w:r w:rsidR="00245A15" w:rsidRPr="00E16CCC">
        <w:rPr>
          <w:sz w:val="24"/>
          <w:szCs w:val="24"/>
        </w:rPr>
        <w:t xml:space="preserve"> </w:t>
      </w:r>
    </w:p>
    <w:p w14:paraId="10AFC137" w14:textId="77777777" w:rsidR="00502164" w:rsidRPr="00E16CCC" w:rsidRDefault="00DB5D68" w:rsidP="00695E2D">
      <w:pPr>
        <w:jc w:val="both"/>
        <w:rPr>
          <w:sz w:val="24"/>
          <w:szCs w:val="24"/>
        </w:rPr>
      </w:pPr>
      <w:r w:rsidRPr="00E16CCC">
        <w:rPr>
          <w:sz w:val="24"/>
          <w:szCs w:val="24"/>
        </w:rPr>
        <w:t xml:space="preserve">The Strategic Framework and its accompanying </w:t>
      </w:r>
      <w:r w:rsidR="00E13FB7" w:rsidRPr="00E16CCC">
        <w:rPr>
          <w:sz w:val="24"/>
          <w:szCs w:val="24"/>
        </w:rPr>
        <w:t xml:space="preserve">Integrated Results and Resources Matrix (IRRM) and </w:t>
      </w:r>
      <w:r w:rsidR="001558EF" w:rsidRPr="00E16CCC">
        <w:rPr>
          <w:sz w:val="24"/>
          <w:szCs w:val="24"/>
        </w:rPr>
        <w:t>T</w:t>
      </w:r>
      <w:r w:rsidRPr="00E16CCC">
        <w:rPr>
          <w:sz w:val="24"/>
          <w:szCs w:val="24"/>
        </w:rPr>
        <w:t xml:space="preserve">heory of </w:t>
      </w:r>
      <w:r w:rsidR="001558EF" w:rsidRPr="00E16CCC">
        <w:rPr>
          <w:sz w:val="24"/>
          <w:szCs w:val="24"/>
        </w:rPr>
        <w:t>Change</w:t>
      </w:r>
      <w:r w:rsidRPr="00E16CCC">
        <w:rPr>
          <w:sz w:val="24"/>
          <w:szCs w:val="24"/>
        </w:rPr>
        <w:t xml:space="preserve"> establish a very clear framework for </w:t>
      </w:r>
      <w:r w:rsidR="004E22F2" w:rsidRPr="00E16CCC">
        <w:rPr>
          <w:sz w:val="24"/>
          <w:szCs w:val="24"/>
        </w:rPr>
        <w:t>evaluation in UNCDF</w:t>
      </w:r>
      <w:r w:rsidR="000C317C" w:rsidRPr="00E16CCC">
        <w:rPr>
          <w:sz w:val="24"/>
          <w:szCs w:val="24"/>
        </w:rPr>
        <w:t>,</w:t>
      </w:r>
      <w:r w:rsidRPr="00E16CCC">
        <w:rPr>
          <w:sz w:val="24"/>
          <w:szCs w:val="24"/>
        </w:rPr>
        <w:t xml:space="preserve"> setting out </w:t>
      </w:r>
      <w:r w:rsidR="00E13FB7" w:rsidRPr="00E16CCC">
        <w:rPr>
          <w:sz w:val="24"/>
          <w:szCs w:val="24"/>
        </w:rPr>
        <w:t xml:space="preserve">a series of </w:t>
      </w:r>
      <w:r w:rsidRPr="00E16CCC">
        <w:rPr>
          <w:sz w:val="24"/>
          <w:szCs w:val="24"/>
        </w:rPr>
        <w:t xml:space="preserve">key expected results </w:t>
      </w:r>
      <w:r w:rsidR="00E13FB7" w:rsidRPr="00E16CCC">
        <w:rPr>
          <w:sz w:val="24"/>
          <w:szCs w:val="24"/>
        </w:rPr>
        <w:t xml:space="preserve">at the impact, outcome and output levels and a series of </w:t>
      </w:r>
      <w:r w:rsidRPr="00E16CCC">
        <w:rPr>
          <w:sz w:val="24"/>
          <w:szCs w:val="24"/>
        </w:rPr>
        <w:t xml:space="preserve">impact pathways that </w:t>
      </w:r>
      <w:r w:rsidR="00B676D6" w:rsidRPr="00E16CCC">
        <w:rPr>
          <w:sz w:val="24"/>
          <w:szCs w:val="24"/>
        </w:rPr>
        <w:t xml:space="preserve">UNCDF intends to follow </w:t>
      </w:r>
      <w:r w:rsidR="00560B3D" w:rsidRPr="00E16CCC">
        <w:rPr>
          <w:sz w:val="24"/>
          <w:szCs w:val="24"/>
        </w:rPr>
        <w:t xml:space="preserve">– working closely with its implementing partners - </w:t>
      </w:r>
      <w:r w:rsidR="00B676D6" w:rsidRPr="00E16CCC">
        <w:rPr>
          <w:sz w:val="24"/>
          <w:szCs w:val="24"/>
        </w:rPr>
        <w:t>to achieve those results.</w:t>
      </w:r>
      <w:r w:rsidR="00502164" w:rsidRPr="00E16CCC">
        <w:rPr>
          <w:sz w:val="24"/>
          <w:szCs w:val="24"/>
        </w:rPr>
        <w:t xml:space="preserve"> </w:t>
      </w:r>
      <w:r w:rsidR="004E22F2" w:rsidRPr="00E16CCC">
        <w:rPr>
          <w:sz w:val="24"/>
          <w:szCs w:val="24"/>
        </w:rPr>
        <w:t xml:space="preserve">In turn, </w:t>
      </w:r>
      <w:r w:rsidR="00280E3D" w:rsidRPr="00E16CCC">
        <w:rPr>
          <w:sz w:val="24"/>
          <w:szCs w:val="24"/>
        </w:rPr>
        <w:t xml:space="preserve">UNCDF programmes and projects are designed </w:t>
      </w:r>
      <w:r w:rsidR="009D0F28" w:rsidRPr="00E16CCC">
        <w:rPr>
          <w:sz w:val="24"/>
          <w:szCs w:val="24"/>
        </w:rPr>
        <w:t>using theories of change and results frameworks specific to the intervention and the context in which the intervention is being rolled out.</w:t>
      </w:r>
    </w:p>
    <w:p w14:paraId="419406F7" w14:textId="77777777" w:rsidR="00560B3D" w:rsidRPr="00E16CCC" w:rsidRDefault="009D0F28" w:rsidP="00695E2D">
      <w:pPr>
        <w:jc w:val="both"/>
        <w:rPr>
          <w:sz w:val="24"/>
          <w:szCs w:val="24"/>
        </w:rPr>
      </w:pPr>
      <w:r w:rsidRPr="00E16CCC">
        <w:rPr>
          <w:sz w:val="24"/>
          <w:szCs w:val="24"/>
        </w:rPr>
        <w:t>Taken together, t</w:t>
      </w:r>
      <w:r w:rsidR="00560B3D" w:rsidRPr="00E16CCC">
        <w:rPr>
          <w:sz w:val="24"/>
          <w:szCs w:val="24"/>
        </w:rPr>
        <w:t>his constitutes a rich and dynamic set of expected results, partners</w:t>
      </w:r>
      <w:r w:rsidR="00DC6BD7" w:rsidRPr="00E16CCC">
        <w:rPr>
          <w:sz w:val="24"/>
          <w:szCs w:val="24"/>
        </w:rPr>
        <w:t>hips</w:t>
      </w:r>
      <w:r w:rsidR="00560B3D" w:rsidRPr="00E16CCC">
        <w:rPr>
          <w:sz w:val="24"/>
          <w:szCs w:val="24"/>
        </w:rPr>
        <w:t xml:space="preserve"> and </w:t>
      </w:r>
      <w:r w:rsidR="00DC6BD7" w:rsidRPr="00E16CCC">
        <w:rPr>
          <w:sz w:val="24"/>
          <w:szCs w:val="24"/>
        </w:rPr>
        <w:t xml:space="preserve">broader </w:t>
      </w:r>
      <w:r w:rsidR="00560B3D" w:rsidRPr="00E16CCC">
        <w:rPr>
          <w:sz w:val="24"/>
          <w:szCs w:val="24"/>
        </w:rPr>
        <w:t xml:space="preserve">assumptions that </w:t>
      </w:r>
      <w:r w:rsidR="00DC6BD7" w:rsidRPr="00E16CCC">
        <w:rPr>
          <w:sz w:val="24"/>
          <w:szCs w:val="24"/>
        </w:rPr>
        <w:t>are</w:t>
      </w:r>
      <w:r w:rsidR="00560B3D" w:rsidRPr="00E16CCC">
        <w:rPr>
          <w:sz w:val="24"/>
          <w:szCs w:val="24"/>
        </w:rPr>
        <w:t xml:space="preserve"> fertile ground for any </w:t>
      </w:r>
      <w:r w:rsidR="00DC6BD7" w:rsidRPr="00E16CCC">
        <w:rPr>
          <w:sz w:val="24"/>
          <w:szCs w:val="24"/>
        </w:rPr>
        <w:t>e</w:t>
      </w:r>
      <w:r w:rsidR="00560B3D" w:rsidRPr="00E16CCC">
        <w:rPr>
          <w:sz w:val="24"/>
          <w:szCs w:val="24"/>
        </w:rPr>
        <w:t xml:space="preserve">valuation plan that seeks to validate and explore further the development results being reported by </w:t>
      </w:r>
      <w:r w:rsidR="004A5BE7" w:rsidRPr="00E16CCC">
        <w:rPr>
          <w:sz w:val="24"/>
          <w:szCs w:val="24"/>
        </w:rPr>
        <w:t>individual programmes and projects</w:t>
      </w:r>
      <w:r w:rsidR="008F45EE" w:rsidRPr="00E16CCC">
        <w:rPr>
          <w:sz w:val="24"/>
          <w:szCs w:val="24"/>
        </w:rPr>
        <w:t>,</w:t>
      </w:r>
      <w:r w:rsidR="004A5BE7" w:rsidRPr="00E16CCC">
        <w:rPr>
          <w:sz w:val="24"/>
          <w:szCs w:val="24"/>
        </w:rPr>
        <w:t xml:space="preserve"> </w:t>
      </w:r>
      <w:r w:rsidR="004A5BE7" w:rsidRPr="00E16CCC">
        <w:rPr>
          <w:sz w:val="24"/>
          <w:szCs w:val="24"/>
        </w:rPr>
        <w:lastRenderedPageBreak/>
        <w:t xml:space="preserve">as well as </w:t>
      </w:r>
      <w:r w:rsidR="00502164" w:rsidRPr="00E16CCC">
        <w:rPr>
          <w:sz w:val="24"/>
          <w:szCs w:val="24"/>
        </w:rPr>
        <w:t xml:space="preserve">the relevance and appropriateness of UNCDF’s thematic and strategic focus more generally. </w:t>
      </w:r>
    </w:p>
    <w:p w14:paraId="66DBFD1B" w14:textId="77777777" w:rsidR="00560B3D" w:rsidRPr="00E16CCC" w:rsidRDefault="00905B07" w:rsidP="00695E2D">
      <w:pPr>
        <w:jc w:val="both"/>
        <w:rPr>
          <w:sz w:val="24"/>
          <w:szCs w:val="24"/>
          <w:u w:val="single"/>
        </w:rPr>
      </w:pPr>
      <w:r w:rsidRPr="00E16CCC">
        <w:rPr>
          <w:sz w:val="24"/>
          <w:szCs w:val="24"/>
          <w:u w:val="single"/>
        </w:rPr>
        <w:t xml:space="preserve">3. </w:t>
      </w:r>
      <w:r w:rsidR="00F71CDD" w:rsidRPr="00E16CCC">
        <w:rPr>
          <w:sz w:val="24"/>
          <w:szCs w:val="24"/>
          <w:u w:val="single"/>
        </w:rPr>
        <w:t xml:space="preserve">Type of </w:t>
      </w:r>
      <w:r w:rsidR="00C779C8" w:rsidRPr="00E16CCC">
        <w:rPr>
          <w:sz w:val="24"/>
          <w:szCs w:val="24"/>
          <w:u w:val="single"/>
        </w:rPr>
        <w:t>evaluation</w:t>
      </w:r>
      <w:r w:rsidR="00DC6BD7" w:rsidRPr="00E16CCC">
        <w:rPr>
          <w:sz w:val="24"/>
          <w:szCs w:val="24"/>
          <w:u w:val="single"/>
        </w:rPr>
        <w:t xml:space="preserve"> proposed</w:t>
      </w:r>
      <w:r w:rsidR="00C779C8" w:rsidRPr="00E16CCC">
        <w:rPr>
          <w:sz w:val="24"/>
          <w:szCs w:val="24"/>
          <w:u w:val="single"/>
        </w:rPr>
        <w:t xml:space="preserve"> </w:t>
      </w:r>
    </w:p>
    <w:p w14:paraId="2089EAAC" w14:textId="332CB0A8" w:rsidR="00415E3F" w:rsidRPr="00E16CCC" w:rsidRDefault="00AA4EBD" w:rsidP="00695E2D">
      <w:pPr>
        <w:jc w:val="both"/>
        <w:rPr>
          <w:sz w:val="24"/>
          <w:szCs w:val="24"/>
        </w:rPr>
      </w:pPr>
      <w:r w:rsidRPr="00E16CCC">
        <w:rPr>
          <w:sz w:val="24"/>
          <w:szCs w:val="24"/>
        </w:rPr>
        <w:t xml:space="preserve">The Evaluation Plan below </w:t>
      </w:r>
      <w:r w:rsidR="006E4BFE" w:rsidRPr="00E16CCC">
        <w:rPr>
          <w:sz w:val="24"/>
          <w:szCs w:val="24"/>
        </w:rPr>
        <w:t xml:space="preserve">includes </w:t>
      </w:r>
      <w:r w:rsidRPr="00E16CCC">
        <w:rPr>
          <w:sz w:val="24"/>
          <w:szCs w:val="24"/>
        </w:rPr>
        <w:t>f</w:t>
      </w:r>
      <w:r w:rsidR="0087209A">
        <w:rPr>
          <w:sz w:val="24"/>
          <w:szCs w:val="24"/>
        </w:rPr>
        <w:t xml:space="preserve">ifteen </w:t>
      </w:r>
      <w:r w:rsidRPr="00E16CCC">
        <w:rPr>
          <w:sz w:val="24"/>
          <w:szCs w:val="24"/>
        </w:rPr>
        <w:t>evaluations: twelve programme and project evaluations and t</w:t>
      </w:r>
      <w:r w:rsidR="009C254D">
        <w:rPr>
          <w:sz w:val="24"/>
          <w:szCs w:val="24"/>
        </w:rPr>
        <w:t>wo</w:t>
      </w:r>
      <w:r w:rsidRPr="00E16CCC">
        <w:rPr>
          <w:sz w:val="24"/>
          <w:szCs w:val="24"/>
        </w:rPr>
        <w:t xml:space="preserve"> thematic evaluations to be conducted </w:t>
      </w:r>
      <w:r w:rsidR="00573054" w:rsidRPr="00E16CCC">
        <w:rPr>
          <w:sz w:val="24"/>
          <w:szCs w:val="24"/>
        </w:rPr>
        <w:t xml:space="preserve">by UNCDF’s Evaluation Unit </w:t>
      </w:r>
      <w:r w:rsidRPr="00E16CCC">
        <w:rPr>
          <w:sz w:val="24"/>
          <w:szCs w:val="24"/>
        </w:rPr>
        <w:t xml:space="preserve">during the course of </w:t>
      </w:r>
      <w:r w:rsidR="001A779B" w:rsidRPr="00E16CCC">
        <w:rPr>
          <w:sz w:val="24"/>
          <w:szCs w:val="24"/>
        </w:rPr>
        <w:t>the next Strategic Framework.</w:t>
      </w:r>
      <w:r w:rsidR="009C254D">
        <w:rPr>
          <w:rStyle w:val="FootnoteReference"/>
          <w:sz w:val="24"/>
          <w:szCs w:val="24"/>
        </w:rPr>
        <w:footnoteReference w:id="4"/>
      </w:r>
      <w:r w:rsidR="00DE05B5" w:rsidRPr="00E16CCC">
        <w:rPr>
          <w:sz w:val="24"/>
          <w:szCs w:val="24"/>
        </w:rPr>
        <w:t xml:space="preserve"> </w:t>
      </w:r>
      <w:r w:rsidR="00E474BC" w:rsidRPr="00E16CCC">
        <w:rPr>
          <w:sz w:val="24"/>
          <w:szCs w:val="24"/>
        </w:rPr>
        <w:t>The s</w:t>
      </w:r>
      <w:r w:rsidR="00DE05B5" w:rsidRPr="00E16CCC">
        <w:rPr>
          <w:sz w:val="24"/>
          <w:szCs w:val="24"/>
        </w:rPr>
        <w:t xml:space="preserve">even programme and project </w:t>
      </w:r>
      <w:r w:rsidR="002C37DB" w:rsidRPr="00E16CCC">
        <w:rPr>
          <w:sz w:val="24"/>
          <w:szCs w:val="24"/>
        </w:rPr>
        <w:t xml:space="preserve">evaluations </w:t>
      </w:r>
      <w:r w:rsidR="00DE05B5" w:rsidRPr="00E16CCC">
        <w:rPr>
          <w:sz w:val="24"/>
          <w:szCs w:val="24"/>
        </w:rPr>
        <w:t xml:space="preserve">that are </w:t>
      </w:r>
      <w:r w:rsidR="002C37DB" w:rsidRPr="00E16CCC">
        <w:rPr>
          <w:sz w:val="24"/>
          <w:szCs w:val="24"/>
        </w:rPr>
        <w:t xml:space="preserve">scheduled for 2018 and 2019 have been costed. </w:t>
      </w:r>
      <w:r w:rsidR="001A779B" w:rsidRPr="00E16CCC">
        <w:rPr>
          <w:sz w:val="24"/>
          <w:szCs w:val="24"/>
        </w:rPr>
        <w:t xml:space="preserve"> </w:t>
      </w:r>
      <w:r w:rsidR="00415E3F" w:rsidRPr="00E16CCC">
        <w:rPr>
          <w:sz w:val="24"/>
          <w:szCs w:val="24"/>
        </w:rPr>
        <w:t xml:space="preserve">Budgets for the remaining evaluations will be confirmed during implementation of the Plan. </w:t>
      </w:r>
    </w:p>
    <w:p w14:paraId="264A4603" w14:textId="0A6CA487" w:rsidR="00DE05B5" w:rsidRPr="00E16CCC" w:rsidRDefault="00DE05B5" w:rsidP="00695E2D">
      <w:pPr>
        <w:jc w:val="both"/>
        <w:rPr>
          <w:i/>
          <w:sz w:val="24"/>
          <w:szCs w:val="24"/>
        </w:rPr>
      </w:pPr>
      <w:r w:rsidRPr="00E16CCC">
        <w:rPr>
          <w:i/>
          <w:sz w:val="24"/>
          <w:szCs w:val="24"/>
        </w:rPr>
        <w:t>Project and programme evaluations</w:t>
      </w:r>
    </w:p>
    <w:p w14:paraId="65FC979B" w14:textId="5EF19F68" w:rsidR="00651BB5" w:rsidRPr="00E16CCC" w:rsidRDefault="0052468B" w:rsidP="00695E2D">
      <w:pPr>
        <w:jc w:val="both"/>
        <w:rPr>
          <w:sz w:val="24"/>
          <w:szCs w:val="24"/>
        </w:rPr>
      </w:pPr>
      <w:r w:rsidRPr="00E16CCC">
        <w:rPr>
          <w:sz w:val="24"/>
          <w:szCs w:val="24"/>
        </w:rPr>
        <w:t xml:space="preserve">These twelve evaluations </w:t>
      </w:r>
      <w:r w:rsidR="006916A0" w:rsidRPr="00E16CCC">
        <w:rPr>
          <w:sz w:val="24"/>
          <w:szCs w:val="24"/>
        </w:rPr>
        <w:t xml:space="preserve">will cover </w:t>
      </w:r>
      <w:r w:rsidRPr="00E16CCC">
        <w:rPr>
          <w:sz w:val="24"/>
          <w:szCs w:val="24"/>
        </w:rPr>
        <w:t>many of the major global thematic initiatives that UNCDF is currently implementing</w:t>
      </w:r>
      <w:r w:rsidR="005D4A35" w:rsidRPr="00E16CCC">
        <w:rPr>
          <w:sz w:val="24"/>
          <w:szCs w:val="24"/>
        </w:rPr>
        <w:t>,</w:t>
      </w:r>
      <w:r w:rsidRPr="00E16CCC">
        <w:rPr>
          <w:sz w:val="24"/>
          <w:szCs w:val="24"/>
        </w:rPr>
        <w:t xml:space="preserve"> continuing the trend under the 2014 – 2017 Evaluation Plan where evaluations were planned for all Global Thematic Initiatives which in 2017 constituted 58% of </w:t>
      </w:r>
      <w:r w:rsidR="00324DE7" w:rsidRPr="00E16CCC">
        <w:rPr>
          <w:sz w:val="24"/>
          <w:szCs w:val="24"/>
        </w:rPr>
        <w:t xml:space="preserve">the budget of all of </w:t>
      </w:r>
      <w:r w:rsidRPr="00E16CCC">
        <w:rPr>
          <w:sz w:val="24"/>
          <w:szCs w:val="24"/>
        </w:rPr>
        <w:t xml:space="preserve">UNCDF’s total programmes and projects. </w:t>
      </w:r>
      <w:r w:rsidR="00324DE7" w:rsidRPr="00E16CCC">
        <w:rPr>
          <w:sz w:val="24"/>
          <w:szCs w:val="24"/>
        </w:rPr>
        <w:t xml:space="preserve">Measured more specifically as a proportion of </w:t>
      </w:r>
      <w:r w:rsidRPr="00E16CCC">
        <w:rPr>
          <w:sz w:val="24"/>
          <w:szCs w:val="24"/>
        </w:rPr>
        <w:t xml:space="preserve">UNCDF’s </w:t>
      </w:r>
      <w:r w:rsidR="008267BE" w:rsidRPr="00E16CCC">
        <w:rPr>
          <w:sz w:val="24"/>
          <w:szCs w:val="24"/>
        </w:rPr>
        <w:t xml:space="preserve">current and projected programme and project </w:t>
      </w:r>
      <w:r w:rsidRPr="00E16CCC">
        <w:rPr>
          <w:sz w:val="24"/>
          <w:szCs w:val="24"/>
        </w:rPr>
        <w:t>portfolio, th</w:t>
      </w:r>
      <w:r w:rsidR="00E474BC" w:rsidRPr="00E16CCC">
        <w:rPr>
          <w:sz w:val="24"/>
          <w:szCs w:val="24"/>
        </w:rPr>
        <w:t xml:space="preserve">e twelve evaluations will </w:t>
      </w:r>
      <w:r w:rsidR="0053676B" w:rsidRPr="00E16CCC">
        <w:rPr>
          <w:sz w:val="24"/>
          <w:szCs w:val="24"/>
        </w:rPr>
        <w:t xml:space="preserve">represent a </w:t>
      </w:r>
      <w:r w:rsidRPr="00E16CCC">
        <w:rPr>
          <w:sz w:val="24"/>
          <w:szCs w:val="24"/>
        </w:rPr>
        <w:t>projected evaluation coverage of around</w:t>
      </w:r>
      <w:r w:rsidR="0019481B" w:rsidRPr="00E16CCC">
        <w:rPr>
          <w:sz w:val="24"/>
          <w:szCs w:val="24"/>
        </w:rPr>
        <w:t xml:space="preserve"> </w:t>
      </w:r>
      <w:r w:rsidR="008267BE" w:rsidRPr="00E16CCC">
        <w:rPr>
          <w:sz w:val="24"/>
          <w:szCs w:val="24"/>
        </w:rPr>
        <w:t>35</w:t>
      </w:r>
      <w:r w:rsidR="0019481B" w:rsidRPr="00E16CCC">
        <w:rPr>
          <w:sz w:val="24"/>
          <w:szCs w:val="24"/>
        </w:rPr>
        <w:t>%</w:t>
      </w:r>
      <w:r w:rsidR="00573054" w:rsidRPr="00E16CCC">
        <w:rPr>
          <w:sz w:val="24"/>
          <w:szCs w:val="24"/>
        </w:rPr>
        <w:t xml:space="preserve">; when an additional </w:t>
      </w:r>
      <w:r w:rsidR="00456454" w:rsidRPr="00E16CCC">
        <w:rPr>
          <w:sz w:val="24"/>
          <w:szCs w:val="24"/>
        </w:rPr>
        <w:t xml:space="preserve">thirteen evaluations of UNCDF’s work as part of broader joint programmes by UN partners </w:t>
      </w:r>
      <w:r w:rsidR="00262B45" w:rsidRPr="00E16CCC">
        <w:rPr>
          <w:sz w:val="24"/>
          <w:szCs w:val="24"/>
        </w:rPr>
        <w:t xml:space="preserve">– most notably UNDP - </w:t>
      </w:r>
      <w:r w:rsidR="00456454" w:rsidRPr="00E16CCC">
        <w:rPr>
          <w:sz w:val="24"/>
          <w:szCs w:val="24"/>
        </w:rPr>
        <w:t xml:space="preserve">are added, this takes the </w:t>
      </w:r>
      <w:r w:rsidR="000716E3" w:rsidRPr="00E16CCC">
        <w:rPr>
          <w:sz w:val="24"/>
          <w:szCs w:val="24"/>
        </w:rPr>
        <w:t xml:space="preserve">projected </w:t>
      </w:r>
      <w:r w:rsidR="00456454" w:rsidRPr="00E16CCC">
        <w:rPr>
          <w:sz w:val="24"/>
          <w:szCs w:val="24"/>
        </w:rPr>
        <w:t xml:space="preserve">evaluation coverage of UNCDF’s work </w:t>
      </w:r>
      <w:r w:rsidR="0019481B" w:rsidRPr="00E16CCC">
        <w:rPr>
          <w:sz w:val="24"/>
          <w:szCs w:val="24"/>
        </w:rPr>
        <w:t xml:space="preserve">in the 2018 – 2021 period </w:t>
      </w:r>
      <w:r w:rsidR="005D4A35" w:rsidRPr="00E16CCC">
        <w:rPr>
          <w:sz w:val="24"/>
          <w:szCs w:val="24"/>
        </w:rPr>
        <w:t>close to 7</w:t>
      </w:r>
      <w:r w:rsidR="006E4BFE" w:rsidRPr="00E16CCC">
        <w:rPr>
          <w:sz w:val="24"/>
          <w:szCs w:val="24"/>
        </w:rPr>
        <w:t>5</w:t>
      </w:r>
      <w:r w:rsidR="005D4A35" w:rsidRPr="00E16CCC">
        <w:rPr>
          <w:sz w:val="24"/>
          <w:szCs w:val="24"/>
        </w:rPr>
        <w:t>%</w:t>
      </w:r>
      <w:r w:rsidR="00456454" w:rsidRPr="00E16CCC">
        <w:rPr>
          <w:sz w:val="24"/>
          <w:szCs w:val="24"/>
        </w:rPr>
        <w:t xml:space="preserve">. </w:t>
      </w:r>
    </w:p>
    <w:p w14:paraId="26510E52" w14:textId="4F16FE22" w:rsidR="00E7795C" w:rsidRPr="00E16CCC" w:rsidRDefault="005160A7" w:rsidP="00695E2D">
      <w:pPr>
        <w:jc w:val="both"/>
        <w:rPr>
          <w:sz w:val="24"/>
          <w:szCs w:val="24"/>
        </w:rPr>
      </w:pPr>
      <w:r w:rsidRPr="00E16CCC">
        <w:rPr>
          <w:sz w:val="24"/>
          <w:szCs w:val="24"/>
        </w:rPr>
        <w:t xml:space="preserve">In proposing the evaluations included </w:t>
      </w:r>
      <w:r w:rsidR="002025B3" w:rsidRPr="00E16CCC">
        <w:rPr>
          <w:sz w:val="24"/>
          <w:szCs w:val="24"/>
        </w:rPr>
        <w:t>below</w:t>
      </w:r>
      <w:r w:rsidRPr="00E16CCC">
        <w:rPr>
          <w:sz w:val="24"/>
          <w:szCs w:val="24"/>
        </w:rPr>
        <w:t xml:space="preserve">, UNCDF </w:t>
      </w:r>
      <w:r w:rsidR="00EF6776" w:rsidRPr="00E16CCC">
        <w:rPr>
          <w:sz w:val="24"/>
          <w:szCs w:val="24"/>
        </w:rPr>
        <w:t xml:space="preserve">applied a number of lenses. </w:t>
      </w:r>
      <w:r w:rsidR="003A40FF" w:rsidRPr="00E16CCC">
        <w:rPr>
          <w:sz w:val="24"/>
          <w:szCs w:val="24"/>
        </w:rPr>
        <w:t xml:space="preserve">First, it </w:t>
      </w:r>
      <w:r w:rsidR="002025B3" w:rsidRPr="00E16CCC">
        <w:rPr>
          <w:sz w:val="24"/>
          <w:szCs w:val="24"/>
        </w:rPr>
        <w:t>carefully reviewed existing commitments to evaluation contained within programme documents agreed with UNCDF’s partners and funders</w:t>
      </w:r>
      <w:r w:rsidR="00D055D0" w:rsidRPr="00E16CCC">
        <w:rPr>
          <w:sz w:val="24"/>
          <w:szCs w:val="24"/>
        </w:rPr>
        <w:t xml:space="preserve">. </w:t>
      </w:r>
      <w:r w:rsidR="00212673" w:rsidRPr="00E16CCC">
        <w:rPr>
          <w:sz w:val="24"/>
          <w:szCs w:val="24"/>
        </w:rPr>
        <w:t xml:space="preserve"> </w:t>
      </w:r>
      <w:r w:rsidR="003A40FF" w:rsidRPr="00E16CCC">
        <w:rPr>
          <w:sz w:val="24"/>
          <w:szCs w:val="24"/>
        </w:rPr>
        <w:t xml:space="preserve">Second, UNCDF </w:t>
      </w:r>
      <w:r w:rsidR="00636488" w:rsidRPr="00E16CCC">
        <w:rPr>
          <w:sz w:val="24"/>
          <w:szCs w:val="24"/>
        </w:rPr>
        <w:t xml:space="preserve">sought to </w:t>
      </w:r>
      <w:r w:rsidR="000F6783" w:rsidRPr="00E16CCC">
        <w:rPr>
          <w:sz w:val="24"/>
          <w:szCs w:val="24"/>
        </w:rPr>
        <w:t xml:space="preserve">ensure that </w:t>
      </w:r>
      <w:r w:rsidR="00EF6776" w:rsidRPr="00E16CCC">
        <w:rPr>
          <w:sz w:val="24"/>
          <w:szCs w:val="24"/>
        </w:rPr>
        <w:t xml:space="preserve">evaluations would support strategic reflection on progress in implementing its Strategic Framework, and that the evaluations would capture </w:t>
      </w:r>
      <w:r w:rsidR="0084735E" w:rsidRPr="00E16CCC">
        <w:rPr>
          <w:sz w:val="24"/>
          <w:szCs w:val="24"/>
        </w:rPr>
        <w:t xml:space="preserve">the results of a </w:t>
      </w:r>
      <w:r w:rsidR="00EF6776" w:rsidRPr="00E16CCC">
        <w:rPr>
          <w:sz w:val="24"/>
          <w:szCs w:val="24"/>
        </w:rPr>
        <w:t xml:space="preserve">representative </w:t>
      </w:r>
      <w:r w:rsidR="0084735E" w:rsidRPr="00E16CCC">
        <w:rPr>
          <w:sz w:val="24"/>
          <w:szCs w:val="24"/>
        </w:rPr>
        <w:t xml:space="preserve">cross-section of </w:t>
      </w:r>
      <w:r w:rsidR="00770D28" w:rsidRPr="00E16CCC">
        <w:rPr>
          <w:sz w:val="24"/>
          <w:szCs w:val="24"/>
        </w:rPr>
        <w:t xml:space="preserve">programmes and projects </w:t>
      </w:r>
      <w:r w:rsidR="00FD315E" w:rsidRPr="00E16CCC">
        <w:rPr>
          <w:sz w:val="24"/>
          <w:szCs w:val="24"/>
        </w:rPr>
        <w:t xml:space="preserve">to be </w:t>
      </w:r>
      <w:r w:rsidR="00770D28" w:rsidRPr="00E16CCC">
        <w:rPr>
          <w:sz w:val="24"/>
          <w:szCs w:val="24"/>
        </w:rPr>
        <w:t xml:space="preserve">implemented by the UNCDF’s </w:t>
      </w:r>
      <w:r w:rsidR="0084735E" w:rsidRPr="00E16CCC">
        <w:rPr>
          <w:sz w:val="24"/>
          <w:szCs w:val="24"/>
        </w:rPr>
        <w:t>two Practice Areas</w:t>
      </w:r>
      <w:r w:rsidR="00FD315E" w:rsidRPr="00E16CCC">
        <w:rPr>
          <w:sz w:val="24"/>
          <w:szCs w:val="24"/>
        </w:rPr>
        <w:t xml:space="preserve"> over the coming four years</w:t>
      </w:r>
      <w:r w:rsidR="00770D28" w:rsidRPr="00E16CCC">
        <w:rPr>
          <w:sz w:val="24"/>
          <w:szCs w:val="24"/>
        </w:rPr>
        <w:t>.</w:t>
      </w:r>
      <w:r w:rsidR="00DD03F1" w:rsidRPr="00E16CCC">
        <w:rPr>
          <w:sz w:val="24"/>
          <w:szCs w:val="24"/>
        </w:rPr>
        <w:t xml:space="preserve"> </w:t>
      </w:r>
      <w:r w:rsidR="00810963" w:rsidRPr="00E16CCC">
        <w:rPr>
          <w:sz w:val="24"/>
          <w:szCs w:val="24"/>
        </w:rPr>
        <w:t xml:space="preserve">Finally, the choice of evaluation was also made in recognition of the </w:t>
      </w:r>
      <w:r w:rsidR="00F7344F" w:rsidRPr="00E16CCC">
        <w:rPr>
          <w:sz w:val="24"/>
          <w:szCs w:val="24"/>
        </w:rPr>
        <w:t xml:space="preserve">partnership nature of a number of UNCDF’s interventions with the proposed evaluations </w:t>
      </w:r>
      <w:r w:rsidR="009457FB" w:rsidRPr="00E16CCC">
        <w:rPr>
          <w:sz w:val="24"/>
          <w:szCs w:val="24"/>
        </w:rPr>
        <w:t xml:space="preserve">intended to </w:t>
      </w:r>
      <w:r w:rsidR="00F7344F" w:rsidRPr="00E16CCC">
        <w:rPr>
          <w:sz w:val="24"/>
          <w:szCs w:val="24"/>
        </w:rPr>
        <w:t xml:space="preserve">yield </w:t>
      </w:r>
      <w:r w:rsidR="009457FB" w:rsidRPr="00E16CCC">
        <w:rPr>
          <w:sz w:val="24"/>
          <w:szCs w:val="24"/>
        </w:rPr>
        <w:t xml:space="preserve">information on the </w:t>
      </w:r>
      <w:r w:rsidR="00F7344F" w:rsidRPr="00E16CCC">
        <w:rPr>
          <w:sz w:val="24"/>
          <w:szCs w:val="24"/>
        </w:rPr>
        <w:t>results of UNCDF’s work with a number of UN partners, most notably</w:t>
      </w:r>
      <w:r w:rsidR="00EB7A31" w:rsidRPr="00E16CCC">
        <w:rPr>
          <w:sz w:val="24"/>
          <w:szCs w:val="24"/>
        </w:rPr>
        <w:t>:</w:t>
      </w:r>
      <w:r w:rsidR="00F7344F" w:rsidRPr="00E16CCC">
        <w:rPr>
          <w:sz w:val="24"/>
          <w:szCs w:val="24"/>
        </w:rPr>
        <w:t xml:space="preserve"> UNDP </w:t>
      </w:r>
      <w:r w:rsidR="00EB7A31" w:rsidRPr="00E16CCC">
        <w:rPr>
          <w:sz w:val="24"/>
          <w:szCs w:val="24"/>
        </w:rPr>
        <w:t>(</w:t>
      </w:r>
      <w:r w:rsidR="00296B22" w:rsidRPr="00E16CCC">
        <w:rPr>
          <w:sz w:val="24"/>
          <w:szCs w:val="24"/>
        </w:rPr>
        <w:t>in the case of PFIP</w:t>
      </w:r>
      <w:r w:rsidR="009457FB" w:rsidRPr="00E16CCC">
        <w:rPr>
          <w:sz w:val="24"/>
          <w:szCs w:val="24"/>
        </w:rPr>
        <w:t>,</w:t>
      </w:r>
      <w:r w:rsidR="00DB1368" w:rsidRPr="00E16CCC">
        <w:rPr>
          <w:sz w:val="24"/>
          <w:szCs w:val="24"/>
        </w:rPr>
        <w:t xml:space="preserve"> </w:t>
      </w:r>
      <w:r w:rsidR="007354F1" w:rsidRPr="00E16CCC">
        <w:rPr>
          <w:sz w:val="24"/>
          <w:szCs w:val="24"/>
        </w:rPr>
        <w:t xml:space="preserve">CleanStart, </w:t>
      </w:r>
      <w:r w:rsidR="00EB7A31" w:rsidRPr="00E16CCC">
        <w:rPr>
          <w:sz w:val="24"/>
          <w:szCs w:val="24"/>
        </w:rPr>
        <w:t xml:space="preserve">and </w:t>
      </w:r>
      <w:r w:rsidR="007354F1" w:rsidRPr="00E16CCC">
        <w:rPr>
          <w:sz w:val="24"/>
          <w:szCs w:val="24"/>
        </w:rPr>
        <w:t>DRC Actif</w:t>
      </w:r>
      <w:r w:rsidR="00EB7A31" w:rsidRPr="00E16CCC">
        <w:rPr>
          <w:sz w:val="24"/>
          <w:szCs w:val="24"/>
        </w:rPr>
        <w:t>)</w:t>
      </w:r>
      <w:r w:rsidR="001F1123" w:rsidRPr="00E16CCC">
        <w:rPr>
          <w:sz w:val="24"/>
          <w:szCs w:val="24"/>
        </w:rPr>
        <w:t>;</w:t>
      </w:r>
      <w:r w:rsidR="00296B22" w:rsidRPr="00E16CCC">
        <w:rPr>
          <w:sz w:val="24"/>
          <w:szCs w:val="24"/>
        </w:rPr>
        <w:t xml:space="preserve"> </w:t>
      </w:r>
      <w:r w:rsidR="00AD0991" w:rsidRPr="00E16CCC">
        <w:rPr>
          <w:sz w:val="24"/>
          <w:szCs w:val="24"/>
        </w:rPr>
        <w:t xml:space="preserve">UNDP </w:t>
      </w:r>
      <w:r w:rsidR="00FD315E" w:rsidRPr="00E16CCC">
        <w:rPr>
          <w:sz w:val="24"/>
          <w:szCs w:val="24"/>
        </w:rPr>
        <w:t xml:space="preserve">and </w:t>
      </w:r>
      <w:r w:rsidR="00296B22" w:rsidRPr="00E16CCC">
        <w:rPr>
          <w:sz w:val="24"/>
          <w:szCs w:val="24"/>
        </w:rPr>
        <w:t>UN Women (in the case of IELD)</w:t>
      </w:r>
      <w:r w:rsidR="001F1123" w:rsidRPr="00E16CCC">
        <w:rPr>
          <w:sz w:val="24"/>
          <w:szCs w:val="24"/>
        </w:rPr>
        <w:t>,</w:t>
      </w:r>
      <w:r w:rsidR="00296B22" w:rsidRPr="00E16CCC">
        <w:rPr>
          <w:sz w:val="24"/>
          <w:szCs w:val="24"/>
        </w:rPr>
        <w:t xml:space="preserve"> and UNHCR (in the case of </w:t>
      </w:r>
      <w:r w:rsidR="009A76DE" w:rsidRPr="00E16CCC">
        <w:rPr>
          <w:sz w:val="24"/>
          <w:szCs w:val="24"/>
        </w:rPr>
        <w:t xml:space="preserve">the </w:t>
      </w:r>
      <w:r w:rsidR="006916A0" w:rsidRPr="00E16CCC">
        <w:rPr>
          <w:sz w:val="24"/>
          <w:szCs w:val="24"/>
        </w:rPr>
        <w:t>F</w:t>
      </w:r>
      <w:r w:rsidR="009A76DE" w:rsidRPr="00E16CCC">
        <w:rPr>
          <w:sz w:val="24"/>
          <w:szCs w:val="24"/>
        </w:rPr>
        <w:t xml:space="preserve">inancial </w:t>
      </w:r>
      <w:r w:rsidR="006916A0" w:rsidRPr="00E16CCC">
        <w:rPr>
          <w:sz w:val="24"/>
          <w:szCs w:val="24"/>
        </w:rPr>
        <w:t>Inclusion for F</w:t>
      </w:r>
      <w:r w:rsidR="009A76DE" w:rsidRPr="00E16CCC">
        <w:rPr>
          <w:sz w:val="24"/>
          <w:szCs w:val="24"/>
        </w:rPr>
        <w:t xml:space="preserve">orcibly </w:t>
      </w:r>
      <w:r w:rsidR="006916A0" w:rsidRPr="00E16CCC">
        <w:rPr>
          <w:sz w:val="24"/>
          <w:szCs w:val="24"/>
        </w:rPr>
        <w:t>D</w:t>
      </w:r>
      <w:r w:rsidR="009A76DE" w:rsidRPr="00E16CCC">
        <w:rPr>
          <w:sz w:val="24"/>
          <w:szCs w:val="24"/>
        </w:rPr>
        <w:t xml:space="preserve">isplaced </w:t>
      </w:r>
      <w:r w:rsidR="006916A0" w:rsidRPr="00E16CCC">
        <w:rPr>
          <w:sz w:val="24"/>
          <w:szCs w:val="24"/>
        </w:rPr>
        <w:t>P</w:t>
      </w:r>
      <w:r w:rsidR="009A76DE" w:rsidRPr="00E16CCC">
        <w:rPr>
          <w:sz w:val="24"/>
          <w:szCs w:val="24"/>
        </w:rPr>
        <w:t>ersons</w:t>
      </w:r>
      <w:r w:rsidR="006916A0" w:rsidRPr="00E16CCC">
        <w:rPr>
          <w:sz w:val="24"/>
          <w:szCs w:val="24"/>
        </w:rPr>
        <w:t xml:space="preserve"> project</w:t>
      </w:r>
      <w:r w:rsidR="009A76DE" w:rsidRPr="00E16CCC">
        <w:rPr>
          <w:sz w:val="24"/>
          <w:szCs w:val="24"/>
        </w:rPr>
        <w:t>).</w:t>
      </w:r>
      <w:r w:rsidR="00030C6B" w:rsidRPr="00E16CCC">
        <w:rPr>
          <w:sz w:val="24"/>
          <w:szCs w:val="24"/>
        </w:rPr>
        <w:t xml:space="preserve"> </w:t>
      </w:r>
    </w:p>
    <w:p w14:paraId="0E9F20AE" w14:textId="77777777" w:rsidR="007F193F" w:rsidRPr="00E16CCC" w:rsidRDefault="007F193F" w:rsidP="00695E2D">
      <w:pPr>
        <w:jc w:val="both"/>
        <w:rPr>
          <w:sz w:val="24"/>
          <w:szCs w:val="24"/>
        </w:rPr>
      </w:pPr>
      <w:r w:rsidRPr="00E16CCC">
        <w:rPr>
          <w:sz w:val="24"/>
          <w:szCs w:val="24"/>
        </w:rPr>
        <w:t xml:space="preserve">Methodologically speaking, the evaluations </w:t>
      </w:r>
      <w:r w:rsidR="00030C6B" w:rsidRPr="00E16CCC">
        <w:rPr>
          <w:sz w:val="24"/>
          <w:szCs w:val="24"/>
        </w:rPr>
        <w:t xml:space="preserve">proposed </w:t>
      </w:r>
      <w:r w:rsidRPr="00E16CCC">
        <w:rPr>
          <w:sz w:val="24"/>
          <w:szCs w:val="24"/>
        </w:rPr>
        <w:t xml:space="preserve">combine elements of both outcome and process evaluation. These are intended not only to validate and further explore results at the level of UNCDF’s direct partner organisations, but also to assess programme contributions to system and market development in the development sectors in which UNCDF intervenes as well </w:t>
      </w:r>
      <w:r w:rsidRPr="00E16CCC">
        <w:rPr>
          <w:sz w:val="24"/>
          <w:szCs w:val="24"/>
        </w:rPr>
        <w:lastRenderedPageBreak/>
        <w:t>as - where appropriate – impacts on the livelihoods of men and women, girls and boys at the programme beneficiary level.</w:t>
      </w:r>
      <w:r w:rsidR="000B178C" w:rsidRPr="00E16CCC">
        <w:rPr>
          <w:rStyle w:val="FootnoteReference"/>
          <w:sz w:val="24"/>
          <w:szCs w:val="24"/>
        </w:rPr>
        <w:footnoteReference w:id="5"/>
      </w:r>
    </w:p>
    <w:p w14:paraId="09B5723B" w14:textId="77777777" w:rsidR="008C6977" w:rsidRPr="00E16CCC" w:rsidRDefault="006516FF" w:rsidP="00695E2D">
      <w:pPr>
        <w:jc w:val="both"/>
        <w:rPr>
          <w:i/>
          <w:sz w:val="24"/>
          <w:szCs w:val="24"/>
        </w:rPr>
      </w:pPr>
      <w:r w:rsidRPr="00E16CCC">
        <w:rPr>
          <w:i/>
          <w:sz w:val="24"/>
          <w:szCs w:val="24"/>
        </w:rPr>
        <w:t>Thematic and impact evaluation</w:t>
      </w:r>
      <w:r w:rsidR="002D1E29" w:rsidRPr="00E16CCC">
        <w:rPr>
          <w:i/>
          <w:sz w:val="24"/>
          <w:szCs w:val="24"/>
        </w:rPr>
        <w:t xml:space="preserve"> </w:t>
      </w:r>
    </w:p>
    <w:p w14:paraId="10EBEBB2" w14:textId="77777777" w:rsidR="000E57C9" w:rsidRPr="00E16CCC" w:rsidRDefault="00F71CDD" w:rsidP="00695E2D">
      <w:pPr>
        <w:jc w:val="both"/>
        <w:rPr>
          <w:sz w:val="24"/>
          <w:szCs w:val="24"/>
        </w:rPr>
      </w:pPr>
      <w:r w:rsidRPr="00E16CCC">
        <w:rPr>
          <w:sz w:val="24"/>
          <w:szCs w:val="24"/>
        </w:rPr>
        <w:t xml:space="preserve">UNCDF </w:t>
      </w:r>
      <w:r w:rsidR="004141E0" w:rsidRPr="00E16CCC">
        <w:rPr>
          <w:sz w:val="24"/>
          <w:szCs w:val="24"/>
        </w:rPr>
        <w:t xml:space="preserve">appreciates </w:t>
      </w:r>
      <w:r w:rsidRPr="00E16CCC">
        <w:rPr>
          <w:sz w:val="24"/>
          <w:szCs w:val="24"/>
        </w:rPr>
        <w:t xml:space="preserve">the interest from its partners to understand better the longer-term effects of its </w:t>
      </w:r>
      <w:r w:rsidR="002555FE" w:rsidRPr="00E16CCC">
        <w:rPr>
          <w:sz w:val="24"/>
          <w:szCs w:val="24"/>
        </w:rPr>
        <w:t>development</w:t>
      </w:r>
      <w:r w:rsidR="007D693A" w:rsidRPr="00E16CCC">
        <w:rPr>
          <w:sz w:val="24"/>
          <w:szCs w:val="24"/>
        </w:rPr>
        <w:t xml:space="preserve"> interventions</w:t>
      </w:r>
      <w:r w:rsidRPr="00E16CCC">
        <w:rPr>
          <w:sz w:val="24"/>
          <w:szCs w:val="24"/>
        </w:rPr>
        <w:t xml:space="preserve">, </w:t>
      </w:r>
      <w:r w:rsidR="0082677A" w:rsidRPr="00E16CCC">
        <w:rPr>
          <w:sz w:val="24"/>
          <w:szCs w:val="24"/>
        </w:rPr>
        <w:t>both in terms of the quality and results of the direct partnerships that UNCDF is supporting</w:t>
      </w:r>
      <w:r w:rsidR="0003480C" w:rsidRPr="00E16CCC">
        <w:rPr>
          <w:sz w:val="24"/>
          <w:szCs w:val="24"/>
        </w:rPr>
        <w:t>,</w:t>
      </w:r>
      <w:r w:rsidRPr="00E16CCC">
        <w:rPr>
          <w:sz w:val="24"/>
          <w:szCs w:val="24"/>
        </w:rPr>
        <w:t xml:space="preserve"> as well as</w:t>
      </w:r>
      <w:r w:rsidR="007D693A" w:rsidRPr="00E16CCC">
        <w:rPr>
          <w:sz w:val="24"/>
          <w:szCs w:val="24"/>
        </w:rPr>
        <w:t xml:space="preserve"> </w:t>
      </w:r>
      <w:r w:rsidRPr="00E16CCC">
        <w:rPr>
          <w:sz w:val="24"/>
          <w:szCs w:val="24"/>
        </w:rPr>
        <w:t xml:space="preserve">the longer-term effects of </w:t>
      </w:r>
      <w:r w:rsidR="004141E0" w:rsidRPr="00E16CCC">
        <w:rPr>
          <w:sz w:val="24"/>
          <w:szCs w:val="24"/>
        </w:rPr>
        <w:t xml:space="preserve">these partnerships on </w:t>
      </w:r>
      <w:r w:rsidR="007D693A" w:rsidRPr="00E16CCC">
        <w:rPr>
          <w:sz w:val="24"/>
          <w:szCs w:val="24"/>
        </w:rPr>
        <w:t xml:space="preserve">i) </w:t>
      </w:r>
      <w:r w:rsidR="004141E0" w:rsidRPr="00E16CCC">
        <w:rPr>
          <w:sz w:val="24"/>
          <w:szCs w:val="24"/>
        </w:rPr>
        <w:t xml:space="preserve">the </w:t>
      </w:r>
      <w:r w:rsidR="000E57C9" w:rsidRPr="00E16CCC">
        <w:rPr>
          <w:sz w:val="24"/>
          <w:szCs w:val="24"/>
        </w:rPr>
        <w:t xml:space="preserve">policy and market systems that it is seeking to influence </w:t>
      </w:r>
      <w:r w:rsidR="007D693A" w:rsidRPr="00E16CCC">
        <w:rPr>
          <w:sz w:val="24"/>
          <w:szCs w:val="24"/>
        </w:rPr>
        <w:t xml:space="preserve">and ii) </w:t>
      </w:r>
      <w:r w:rsidR="000E57C9" w:rsidRPr="00E16CCC">
        <w:rPr>
          <w:sz w:val="24"/>
          <w:szCs w:val="24"/>
        </w:rPr>
        <w:t xml:space="preserve">on the lives of the beneficiaries that </w:t>
      </w:r>
      <w:r w:rsidR="004141E0" w:rsidRPr="00E16CCC">
        <w:rPr>
          <w:sz w:val="24"/>
          <w:szCs w:val="24"/>
        </w:rPr>
        <w:t>are impacted by these change</w:t>
      </w:r>
      <w:r w:rsidR="00160FAD" w:rsidRPr="00E16CCC">
        <w:rPr>
          <w:sz w:val="24"/>
          <w:szCs w:val="24"/>
        </w:rPr>
        <w:t>s, especially women and the communities in which they live</w:t>
      </w:r>
      <w:r w:rsidR="004141E0" w:rsidRPr="00E16CCC">
        <w:rPr>
          <w:sz w:val="24"/>
          <w:szCs w:val="24"/>
        </w:rPr>
        <w:t xml:space="preserve">. </w:t>
      </w:r>
    </w:p>
    <w:p w14:paraId="45BDD039" w14:textId="05A81521" w:rsidR="005B5E7A" w:rsidRPr="00900B96" w:rsidRDefault="003F40E6" w:rsidP="00695E2D">
      <w:pPr>
        <w:jc w:val="both"/>
        <w:rPr>
          <w:sz w:val="24"/>
          <w:szCs w:val="24"/>
        </w:rPr>
      </w:pPr>
      <w:r w:rsidRPr="00900B96">
        <w:rPr>
          <w:sz w:val="24"/>
          <w:szCs w:val="24"/>
        </w:rPr>
        <w:t>As stated in the Strategic Fr</w:t>
      </w:r>
      <w:r w:rsidR="009040B3" w:rsidRPr="00900B96">
        <w:rPr>
          <w:sz w:val="24"/>
          <w:szCs w:val="24"/>
        </w:rPr>
        <w:t xml:space="preserve">amework, UNCDF will actively seek to cooperate with interested partners </w:t>
      </w:r>
      <w:r w:rsidR="005B5E7A" w:rsidRPr="00900B96">
        <w:rPr>
          <w:sz w:val="24"/>
          <w:szCs w:val="24"/>
        </w:rPr>
        <w:t xml:space="preserve">to finance and conduct </w:t>
      </w:r>
      <w:r w:rsidR="00A2270E" w:rsidRPr="00900B96">
        <w:rPr>
          <w:sz w:val="24"/>
          <w:szCs w:val="24"/>
        </w:rPr>
        <w:t xml:space="preserve">at least </w:t>
      </w:r>
      <w:r w:rsidR="0087209A" w:rsidRPr="00900B96">
        <w:rPr>
          <w:sz w:val="24"/>
          <w:szCs w:val="24"/>
        </w:rPr>
        <w:t xml:space="preserve">two </w:t>
      </w:r>
      <w:r w:rsidR="009040B3" w:rsidRPr="00900B96">
        <w:rPr>
          <w:sz w:val="24"/>
          <w:szCs w:val="24"/>
        </w:rPr>
        <w:t>thematic evaluations</w:t>
      </w:r>
      <w:r w:rsidR="00F8143B" w:rsidRPr="00900B96">
        <w:rPr>
          <w:sz w:val="24"/>
          <w:szCs w:val="24"/>
        </w:rPr>
        <w:t xml:space="preserve"> that </w:t>
      </w:r>
      <w:r w:rsidR="0087209A" w:rsidRPr="00900B96">
        <w:rPr>
          <w:sz w:val="24"/>
          <w:szCs w:val="24"/>
        </w:rPr>
        <w:t>w</w:t>
      </w:r>
      <w:r w:rsidR="00A2270E" w:rsidRPr="00900B96">
        <w:rPr>
          <w:sz w:val="24"/>
          <w:szCs w:val="24"/>
        </w:rPr>
        <w:t>ould</w:t>
      </w:r>
      <w:r w:rsidR="0087209A" w:rsidRPr="00900B96">
        <w:rPr>
          <w:sz w:val="24"/>
          <w:szCs w:val="24"/>
        </w:rPr>
        <w:t xml:space="preserve"> address the following two questions: </w:t>
      </w:r>
    </w:p>
    <w:p w14:paraId="7418352B" w14:textId="77777777" w:rsidR="00900B96" w:rsidRDefault="0087209A" w:rsidP="00900B96">
      <w:pPr>
        <w:pStyle w:val="ListParagraph"/>
        <w:numPr>
          <w:ilvl w:val="0"/>
          <w:numId w:val="4"/>
        </w:numPr>
        <w:jc w:val="both"/>
        <w:rPr>
          <w:sz w:val="24"/>
          <w:szCs w:val="24"/>
        </w:rPr>
      </w:pPr>
      <w:r w:rsidRPr="00900B96">
        <w:rPr>
          <w:sz w:val="24"/>
          <w:szCs w:val="24"/>
        </w:rPr>
        <w:t>UNCDF’s performance in supporting the move from innovation to scale and the effects of its interventions at the broader policy and market systems level over time across the organization;</w:t>
      </w:r>
    </w:p>
    <w:p w14:paraId="7B489962" w14:textId="5FBCA795" w:rsidR="0087209A" w:rsidRPr="00900B96" w:rsidRDefault="0087209A" w:rsidP="00900B96">
      <w:pPr>
        <w:pStyle w:val="ListParagraph"/>
        <w:numPr>
          <w:ilvl w:val="0"/>
          <w:numId w:val="4"/>
        </w:numPr>
        <w:jc w:val="both"/>
        <w:rPr>
          <w:sz w:val="24"/>
          <w:szCs w:val="24"/>
        </w:rPr>
      </w:pPr>
      <w:r w:rsidRPr="00900B96">
        <w:rPr>
          <w:sz w:val="24"/>
          <w:szCs w:val="24"/>
        </w:rPr>
        <w:t>UNCDF’s performance in making finance work for poor, under-served and vulnerable populations, especially women and youth in the LDCs and the effects on the lives and livelihoods of women and the development of communities in which they work;</w:t>
      </w:r>
    </w:p>
    <w:p w14:paraId="1DE9FC44" w14:textId="027F064C" w:rsidR="00640829" w:rsidRPr="00E16CCC" w:rsidRDefault="00A2270E" w:rsidP="00695E2D">
      <w:pPr>
        <w:jc w:val="both"/>
        <w:rPr>
          <w:sz w:val="24"/>
          <w:szCs w:val="24"/>
        </w:rPr>
      </w:pPr>
      <w:r>
        <w:rPr>
          <w:sz w:val="24"/>
          <w:szCs w:val="24"/>
        </w:rPr>
        <w:t xml:space="preserve">These </w:t>
      </w:r>
      <w:r w:rsidR="00FA7485" w:rsidRPr="00E16CCC">
        <w:rPr>
          <w:sz w:val="24"/>
          <w:szCs w:val="24"/>
        </w:rPr>
        <w:t xml:space="preserve">evaluations will be designed in line with </w:t>
      </w:r>
      <w:r w:rsidR="0003480C" w:rsidRPr="00E16CCC">
        <w:rPr>
          <w:sz w:val="24"/>
          <w:szCs w:val="24"/>
        </w:rPr>
        <w:t xml:space="preserve">relevant </w:t>
      </w:r>
      <w:r w:rsidR="000825DE" w:rsidRPr="00E16CCC">
        <w:rPr>
          <w:sz w:val="24"/>
          <w:szCs w:val="24"/>
        </w:rPr>
        <w:t xml:space="preserve">international </w:t>
      </w:r>
      <w:r w:rsidR="00FA7485" w:rsidRPr="00E16CCC">
        <w:rPr>
          <w:sz w:val="24"/>
          <w:szCs w:val="24"/>
        </w:rPr>
        <w:t>good</w:t>
      </w:r>
      <w:r w:rsidR="00DF28F2" w:rsidRPr="00E16CCC">
        <w:rPr>
          <w:sz w:val="24"/>
          <w:szCs w:val="24"/>
        </w:rPr>
        <w:t xml:space="preserve"> practice such as the recently</w:t>
      </w:r>
      <w:r w:rsidR="00FA7485" w:rsidRPr="00E16CCC">
        <w:rPr>
          <w:sz w:val="24"/>
          <w:szCs w:val="24"/>
        </w:rPr>
        <w:t xml:space="preserve"> published CGAP </w:t>
      </w:r>
      <w:r w:rsidR="00D75ADE" w:rsidRPr="00E16CCC">
        <w:rPr>
          <w:sz w:val="24"/>
          <w:szCs w:val="24"/>
        </w:rPr>
        <w:t xml:space="preserve">guidance on </w:t>
      </w:r>
      <w:r w:rsidR="00D75ADE" w:rsidRPr="00E16CCC">
        <w:rPr>
          <w:i/>
          <w:sz w:val="24"/>
          <w:szCs w:val="24"/>
        </w:rPr>
        <w:t>Measuring Market Development</w:t>
      </w:r>
      <w:r w:rsidR="008A3354" w:rsidRPr="00E16CCC">
        <w:rPr>
          <w:rStyle w:val="FootnoteReference"/>
          <w:i/>
          <w:sz w:val="24"/>
          <w:szCs w:val="24"/>
        </w:rPr>
        <w:footnoteReference w:id="6"/>
      </w:r>
      <w:r w:rsidR="00D75ADE" w:rsidRPr="00E16CCC">
        <w:rPr>
          <w:sz w:val="24"/>
          <w:szCs w:val="24"/>
        </w:rPr>
        <w:t xml:space="preserve"> </w:t>
      </w:r>
      <w:r w:rsidR="0003480C" w:rsidRPr="00E16CCC">
        <w:rPr>
          <w:sz w:val="24"/>
          <w:szCs w:val="24"/>
        </w:rPr>
        <w:t xml:space="preserve">in inclusive finance </w:t>
      </w:r>
      <w:r w:rsidR="000825DE" w:rsidRPr="00E16CCC">
        <w:rPr>
          <w:sz w:val="24"/>
          <w:szCs w:val="24"/>
        </w:rPr>
        <w:t>(</w:t>
      </w:r>
      <w:r w:rsidR="00D75ADE" w:rsidRPr="00E16CCC">
        <w:rPr>
          <w:sz w:val="24"/>
          <w:szCs w:val="24"/>
        </w:rPr>
        <w:t>to which UNCDF contributed</w:t>
      </w:r>
      <w:r w:rsidR="000825DE" w:rsidRPr="00E16CCC">
        <w:rPr>
          <w:sz w:val="24"/>
          <w:szCs w:val="24"/>
        </w:rPr>
        <w:t>)</w:t>
      </w:r>
      <w:r w:rsidR="00C57442" w:rsidRPr="00E16CCC">
        <w:rPr>
          <w:sz w:val="24"/>
          <w:szCs w:val="24"/>
        </w:rPr>
        <w:t xml:space="preserve"> and which provides guidance on how best to design the evaluation of complex systems such as those that UNCDF is seeking to influence.</w:t>
      </w:r>
      <w:r w:rsidR="003A28B0" w:rsidRPr="00E16CCC">
        <w:rPr>
          <w:rStyle w:val="FootnoteReference"/>
          <w:sz w:val="24"/>
          <w:szCs w:val="24"/>
        </w:rPr>
        <w:footnoteReference w:id="7"/>
      </w:r>
      <w:r w:rsidR="00C57442" w:rsidRPr="00E16CCC">
        <w:rPr>
          <w:sz w:val="24"/>
          <w:szCs w:val="24"/>
        </w:rPr>
        <w:t xml:space="preserve"> </w:t>
      </w:r>
      <w:r w:rsidR="000825DE" w:rsidRPr="00E16CCC">
        <w:rPr>
          <w:sz w:val="24"/>
          <w:szCs w:val="24"/>
        </w:rPr>
        <w:t xml:space="preserve"> </w:t>
      </w:r>
    </w:p>
    <w:p w14:paraId="42D715FA" w14:textId="46AF2774" w:rsidR="00DB5690" w:rsidRPr="00E16CCC" w:rsidRDefault="00A0480E" w:rsidP="00695E2D">
      <w:pPr>
        <w:jc w:val="both"/>
        <w:rPr>
          <w:sz w:val="24"/>
          <w:szCs w:val="24"/>
        </w:rPr>
      </w:pPr>
      <w:r w:rsidRPr="00E16CCC">
        <w:rPr>
          <w:sz w:val="24"/>
          <w:szCs w:val="24"/>
        </w:rPr>
        <w:lastRenderedPageBreak/>
        <w:t xml:space="preserve">UNCDF will also </w:t>
      </w:r>
      <w:r w:rsidR="001D4F66" w:rsidRPr="00E16CCC">
        <w:rPr>
          <w:sz w:val="24"/>
          <w:szCs w:val="24"/>
        </w:rPr>
        <w:t>ex</w:t>
      </w:r>
      <w:r w:rsidRPr="00E16CCC">
        <w:rPr>
          <w:sz w:val="24"/>
          <w:szCs w:val="24"/>
        </w:rPr>
        <w:t xml:space="preserve">plore the commissioning of more targeted </w:t>
      </w:r>
      <w:r w:rsidR="0093095E" w:rsidRPr="00E16CCC">
        <w:rPr>
          <w:sz w:val="24"/>
          <w:szCs w:val="24"/>
        </w:rPr>
        <w:t xml:space="preserve">thematic </w:t>
      </w:r>
      <w:r w:rsidRPr="00E16CCC">
        <w:rPr>
          <w:sz w:val="24"/>
          <w:szCs w:val="24"/>
        </w:rPr>
        <w:t>evaluations around the p</w:t>
      </w:r>
      <w:r w:rsidR="00DB5690" w:rsidRPr="00E16CCC">
        <w:rPr>
          <w:sz w:val="24"/>
          <w:szCs w:val="24"/>
        </w:rPr>
        <w:t xml:space="preserve">erformance of </w:t>
      </w:r>
      <w:r w:rsidR="002D7802" w:rsidRPr="00E16CCC">
        <w:rPr>
          <w:sz w:val="24"/>
          <w:szCs w:val="24"/>
        </w:rPr>
        <w:t xml:space="preserve">key UNCDF development </w:t>
      </w:r>
      <w:r w:rsidR="00BD1EFC" w:rsidRPr="00E16CCC">
        <w:rPr>
          <w:sz w:val="24"/>
          <w:szCs w:val="24"/>
        </w:rPr>
        <w:t xml:space="preserve">instruments </w:t>
      </w:r>
      <w:r w:rsidR="002D7802" w:rsidRPr="00E16CCC">
        <w:rPr>
          <w:sz w:val="24"/>
          <w:szCs w:val="24"/>
        </w:rPr>
        <w:t xml:space="preserve">– such as its Local Development Fund </w:t>
      </w:r>
      <w:r w:rsidR="00BD1EFC" w:rsidRPr="00E16CCC">
        <w:rPr>
          <w:sz w:val="24"/>
          <w:szCs w:val="24"/>
        </w:rPr>
        <w:t xml:space="preserve">or its </w:t>
      </w:r>
      <w:r w:rsidR="00D06269" w:rsidRPr="00E16CCC">
        <w:rPr>
          <w:sz w:val="24"/>
          <w:szCs w:val="24"/>
        </w:rPr>
        <w:t xml:space="preserve">cross-practice </w:t>
      </w:r>
      <w:r w:rsidR="00BD1EFC" w:rsidRPr="00E16CCC">
        <w:rPr>
          <w:sz w:val="24"/>
          <w:szCs w:val="24"/>
        </w:rPr>
        <w:t xml:space="preserve">diagnostic tools </w:t>
      </w:r>
      <w:r w:rsidR="002D7802" w:rsidRPr="00E16CCC">
        <w:rPr>
          <w:sz w:val="24"/>
          <w:szCs w:val="24"/>
        </w:rPr>
        <w:t>– over</w:t>
      </w:r>
      <w:r w:rsidR="00985AB3" w:rsidRPr="00E16CCC">
        <w:rPr>
          <w:sz w:val="24"/>
          <w:szCs w:val="24"/>
        </w:rPr>
        <w:t xml:space="preserve"> a longer-</w:t>
      </w:r>
      <w:r w:rsidR="00CD27F0" w:rsidRPr="00E16CCC">
        <w:rPr>
          <w:sz w:val="24"/>
          <w:szCs w:val="24"/>
        </w:rPr>
        <w:t xml:space="preserve">term </w:t>
      </w:r>
      <w:r w:rsidR="004C4A4A" w:rsidRPr="00E16CCC">
        <w:rPr>
          <w:sz w:val="24"/>
          <w:szCs w:val="24"/>
        </w:rPr>
        <w:t>period</w:t>
      </w:r>
      <w:r w:rsidR="00DB5690" w:rsidRPr="00E16CCC">
        <w:rPr>
          <w:sz w:val="24"/>
          <w:szCs w:val="24"/>
        </w:rPr>
        <w:t xml:space="preserve">. These evaluations </w:t>
      </w:r>
      <w:r w:rsidR="002F32C3" w:rsidRPr="00E16CCC">
        <w:rPr>
          <w:sz w:val="24"/>
          <w:szCs w:val="24"/>
        </w:rPr>
        <w:t xml:space="preserve">could </w:t>
      </w:r>
      <w:r w:rsidR="00DB5690" w:rsidRPr="00E16CCC">
        <w:rPr>
          <w:sz w:val="24"/>
          <w:szCs w:val="24"/>
        </w:rPr>
        <w:t xml:space="preserve">focus on the </w:t>
      </w:r>
      <w:r w:rsidR="002D7802" w:rsidRPr="00E16CCC">
        <w:rPr>
          <w:sz w:val="24"/>
          <w:szCs w:val="24"/>
        </w:rPr>
        <w:t xml:space="preserve">broader effectiveness and impact </w:t>
      </w:r>
      <w:r w:rsidR="004C4A4A" w:rsidRPr="00E16CCC">
        <w:rPr>
          <w:sz w:val="24"/>
          <w:szCs w:val="24"/>
        </w:rPr>
        <w:t xml:space="preserve">of these instruments, </w:t>
      </w:r>
      <w:r w:rsidR="00BD1EFC" w:rsidRPr="00E16CCC">
        <w:rPr>
          <w:sz w:val="24"/>
          <w:szCs w:val="24"/>
        </w:rPr>
        <w:t xml:space="preserve">including elements of </w:t>
      </w:r>
      <w:r w:rsidR="00BD1EFC" w:rsidRPr="00E16CCC">
        <w:rPr>
          <w:i/>
          <w:sz w:val="24"/>
          <w:szCs w:val="24"/>
        </w:rPr>
        <w:t>ex post</w:t>
      </w:r>
      <w:r w:rsidR="00BD1EFC" w:rsidRPr="00E16CCC">
        <w:rPr>
          <w:sz w:val="24"/>
          <w:szCs w:val="24"/>
        </w:rPr>
        <w:t xml:space="preserve"> evaluation: i.e. th</w:t>
      </w:r>
      <w:r w:rsidR="006E081E" w:rsidRPr="00E16CCC">
        <w:rPr>
          <w:sz w:val="24"/>
          <w:szCs w:val="24"/>
        </w:rPr>
        <w:t>e</w:t>
      </w:r>
      <w:r w:rsidR="00BD1EFC" w:rsidRPr="00E16CCC">
        <w:rPr>
          <w:sz w:val="24"/>
          <w:szCs w:val="24"/>
        </w:rPr>
        <w:t xml:space="preserve"> </w:t>
      </w:r>
      <w:r w:rsidR="000F622C" w:rsidRPr="00E16CCC">
        <w:rPr>
          <w:sz w:val="24"/>
          <w:szCs w:val="24"/>
        </w:rPr>
        <w:t xml:space="preserve">extent to which </w:t>
      </w:r>
      <w:r w:rsidR="00BD1EFC" w:rsidRPr="00E16CCC">
        <w:rPr>
          <w:sz w:val="24"/>
          <w:szCs w:val="24"/>
        </w:rPr>
        <w:t xml:space="preserve">development results </w:t>
      </w:r>
      <w:r w:rsidR="006E081E" w:rsidRPr="00E16CCC">
        <w:rPr>
          <w:sz w:val="24"/>
          <w:szCs w:val="24"/>
        </w:rPr>
        <w:t xml:space="preserve">are sustained over time once </w:t>
      </w:r>
      <w:r w:rsidR="00AD0991" w:rsidRPr="00E16CCC">
        <w:rPr>
          <w:sz w:val="24"/>
          <w:szCs w:val="24"/>
        </w:rPr>
        <w:t xml:space="preserve">UNCDF </w:t>
      </w:r>
      <w:r w:rsidR="006E081E" w:rsidRPr="00E16CCC">
        <w:rPr>
          <w:sz w:val="24"/>
          <w:szCs w:val="24"/>
        </w:rPr>
        <w:t xml:space="preserve"> programme</w:t>
      </w:r>
      <w:r w:rsidR="00AD0991" w:rsidRPr="00E16CCC">
        <w:rPr>
          <w:sz w:val="24"/>
          <w:szCs w:val="24"/>
        </w:rPr>
        <w:t>s</w:t>
      </w:r>
      <w:r w:rsidR="006E081E" w:rsidRPr="00E16CCC">
        <w:rPr>
          <w:sz w:val="24"/>
          <w:szCs w:val="24"/>
        </w:rPr>
        <w:t xml:space="preserve"> ha</w:t>
      </w:r>
      <w:r w:rsidR="00AD0991" w:rsidRPr="00E16CCC">
        <w:rPr>
          <w:sz w:val="24"/>
          <w:szCs w:val="24"/>
        </w:rPr>
        <w:t>ve</w:t>
      </w:r>
      <w:r w:rsidR="006E081E" w:rsidRPr="00E16CCC">
        <w:rPr>
          <w:sz w:val="24"/>
          <w:szCs w:val="24"/>
        </w:rPr>
        <w:t xml:space="preserve"> come to an end</w:t>
      </w:r>
      <w:r w:rsidR="00DB5690" w:rsidRPr="00E16CCC">
        <w:rPr>
          <w:sz w:val="24"/>
          <w:szCs w:val="24"/>
        </w:rPr>
        <w:t>.</w:t>
      </w:r>
      <w:r w:rsidR="009C3D38">
        <w:rPr>
          <w:sz w:val="24"/>
          <w:szCs w:val="24"/>
        </w:rPr>
        <w:t xml:space="preserve"> </w:t>
      </w:r>
    </w:p>
    <w:p w14:paraId="5072F9D3" w14:textId="77777777" w:rsidR="009C154F" w:rsidRPr="00E16CCC" w:rsidRDefault="00311ADD" w:rsidP="00695E2D">
      <w:pPr>
        <w:jc w:val="both"/>
        <w:rPr>
          <w:sz w:val="24"/>
          <w:szCs w:val="24"/>
          <w:u w:val="single"/>
        </w:rPr>
      </w:pPr>
      <w:r w:rsidRPr="00E16CCC">
        <w:rPr>
          <w:sz w:val="24"/>
          <w:szCs w:val="24"/>
          <w:u w:val="single"/>
        </w:rPr>
        <w:t xml:space="preserve">4. </w:t>
      </w:r>
      <w:r w:rsidR="009C154F" w:rsidRPr="00E16CCC">
        <w:rPr>
          <w:sz w:val="24"/>
          <w:szCs w:val="24"/>
          <w:u w:val="single"/>
        </w:rPr>
        <w:t xml:space="preserve">Evaluation and Research </w:t>
      </w:r>
    </w:p>
    <w:p w14:paraId="65E703F8" w14:textId="7ECAB99A" w:rsidR="00311ADD" w:rsidRPr="00E16CCC" w:rsidRDefault="00311ADD" w:rsidP="00695E2D">
      <w:pPr>
        <w:jc w:val="both"/>
        <w:rPr>
          <w:sz w:val="24"/>
          <w:szCs w:val="24"/>
        </w:rPr>
      </w:pPr>
      <w:r w:rsidRPr="00E16CCC">
        <w:rPr>
          <w:sz w:val="24"/>
          <w:szCs w:val="24"/>
        </w:rPr>
        <w:t xml:space="preserve">In addition to the evaluation activities proposed </w:t>
      </w:r>
      <w:r w:rsidR="0093095E" w:rsidRPr="00E16CCC">
        <w:rPr>
          <w:sz w:val="24"/>
          <w:szCs w:val="24"/>
        </w:rPr>
        <w:t xml:space="preserve">in the </w:t>
      </w:r>
      <w:r w:rsidRPr="00E16CCC">
        <w:rPr>
          <w:sz w:val="24"/>
          <w:szCs w:val="24"/>
        </w:rPr>
        <w:t xml:space="preserve">Plan, UNCDF </w:t>
      </w:r>
      <w:r w:rsidR="00776DC3" w:rsidRPr="00E16CCC">
        <w:rPr>
          <w:sz w:val="24"/>
          <w:szCs w:val="24"/>
        </w:rPr>
        <w:t xml:space="preserve">will continue </w:t>
      </w:r>
      <w:r w:rsidRPr="00E16CCC">
        <w:rPr>
          <w:sz w:val="24"/>
          <w:szCs w:val="24"/>
        </w:rPr>
        <w:t xml:space="preserve">over the period of this Strategic Framework to maintain its focus on </w:t>
      </w:r>
      <w:r w:rsidR="000C6088" w:rsidRPr="00E16CCC">
        <w:rPr>
          <w:sz w:val="24"/>
          <w:szCs w:val="24"/>
        </w:rPr>
        <w:t xml:space="preserve">development </w:t>
      </w:r>
      <w:r w:rsidRPr="00E16CCC">
        <w:rPr>
          <w:sz w:val="24"/>
          <w:szCs w:val="24"/>
        </w:rPr>
        <w:t xml:space="preserve">research activities as a way to generate </w:t>
      </w:r>
      <w:r w:rsidR="00776DC3" w:rsidRPr="00E16CCC">
        <w:rPr>
          <w:sz w:val="24"/>
          <w:szCs w:val="24"/>
        </w:rPr>
        <w:t xml:space="preserve">additional </w:t>
      </w:r>
      <w:r w:rsidRPr="00E16CCC">
        <w:rPr>
          <w:sz w:val="24"/>
          <w:szCs w:val="24"/>
        </w:rPr>
        <w:t>information on the results and impacts of its work.</w:t>
      </w:r>
      <w:r w:rsidR="00264A92" w:rsidRPr="00E16CCC">
        <w:rPr>
          <w:sz w:val="24"/>
          <w:szCs w:val="24"/>
        </w:rPr>
        <w:t xml:space="preserve"> This w</w:t>
      </w:r>
      <w:r w:rsidR="0093095E" w:rsidRPr="00E16CCC">
        <w:rPr>
          <w:sz w:val="24"/>
          <w:szCs w:val="24"/>
        </w:rPr>
        <w:t xml:space="preserve">ill </w:t>
      </w:r>
      <w:r w:rsidR="00264A92" w:rsidRPr="00E16CCC">
        <w:rPr>
          <w:sz w:val="24"/>
          <w:szCs w:val="24"/>
        </w:rPr>
        <w:t xml:space="preserve">be complementary to the </w:t>
      </w:r>
      <w:r w:rsidR="000D5813" w:rsidRPr="00E16CCC">
        <w:rPr>
          <w:sz w:val="24"/>
          <w:szCs w:val="24"/>
        </w:rPr>
        <w:t xml:space="preserve">evaluation </w:t>
      </w:r>
      <w:r w:rsidR="00264A92" w:rsidRPr="00E16CCC">
        <w:rPr>
          <w:sz w:val="24"/>
          <w:szCs w:val="24"/>
        </w:rPr>
        <w:t xml:space="preserve">results being generated under the Evaluation Plan </w:t>
      </w:r>
      <w:r w:rsidR="000D5813" w:rsidRPr="00E16CCC">
        <w:rPr>
          <w:sz w:val="24"/>
          <w:szCs w:val="24"/>
        </w:rPr>
        <w:t>under the responsibility of the Evaluation Unit</w:t>
      </w:r>
      <w:r w:rsidR="00264A92" w:rsidRPr="00E16CCC">
        <w:rPr>
          <w:sz w:val="24"/>
          <w:szCs w:val="24"/>
        </w:rPr>
        <w:t>.</w:t>
      </w:r>
    </w:p>
    <w:p w14:paraId="6A9025A5" w14:textId="2AA2D1C1" w:rsidR="00311ADD" w:rsidRPr="00E16CCC" w:rsidRDefault="00311ADD" w:rsidP="00695E2D">
      <w:pPr>
        <w:jc w:val="both"/>
        <w:rPr>
          <w:sz w:val="24"/>
          <w:szCs w:val="24"/>
        </w:rPr>
      </w:pPr>
      <w:r w:rsidRPr="00E16CCC">
        <w:rPr>
          <w:sz w:val="24"/>
          <w:szCs w:val="24"/>
        </w:rPr>
        <w:t xml:space="preserve">Examples of such initiatives </w:t>
      </w:r>
      <w:r w:rsidR="00171B3D" w:rsidRPr="00E16CCC">
        <w:rPr>
          <w:sz w:val="24"/>
          <w:szCs w:val="24"/>
        </w:rPr>
        <w:t xml:space="preserve">– to be </w:t>
      </w:r>
      <w:r w:rsidR="008B3E49" w:rsidRPr="00E16CCC">
        <w:rPr>
          <w:sz w:val="24"/>
          <w:szCs w:val="24"/>
        </w:rPr>
        <w:t xml:space="preserve">conducted </w:t>
      </w:r>
      <w:r w:rsidR="0093095E" w:rsidRPr="00E16CCC">
        <w:rPr>
          <w:sz w:val="24"/>
          <w:szCs w:val="24"/>
        </w:rPr>
        <w:t xml:space="preserve">where appropriate </w:t>
      </w:r>
      <w:r w:rsidR="005E7093" w:rsidRPr="00E16CCC">
        <w:rPr>
          <w:sz w:val="24"/>
          <w:szCs w:val="24"/>
        </w:rPr>
        <w:t xml:space="preserve">with the support of </w:t>
      </w:r>
      <w:r w:rsidR="008B3E49" w:rsidRPr="00E16CCC">
        <w:rPr>
          <w:sz w:val="24"/>
          <w:szCs w:val="24"/>
        </w:rPr>
        <w:t xml:space="preserve">the Evaluation Unit </w:t>
      </w:r>
      <w:r w:rsidR="00D8588D" w:rsidRPr="00E16CCC">
        <w:rPr>
          <w:sz w:val="24"/>
          <w:szCs w:val="24"/>
        </w:rPr>
        <w:t>–</w:t>
      </w:r>
      <w:r w:rsidR="00171B3D" w:rsidRPr="00E16CCC">
        <w:rPr>
          <w:sz w:val="24"/>
          <w:szCs w:val="24"/>
        </w:rPr>
        <w:t xml:space="preserve"> </w:t>
      </w:r>
      <w:r w:rsidRPr="00E16CCC">
        <w:rPr>
          <w:sz w:val="24"/>
          <w:szCs w:val="24"/>
        </w:rPr>
        <w:t>include</w:t>
      </w:r>
      <w:r w:rsidR="00D8588D" w:rsidRPr="00E16CCC">
        <w:rPr>
          <w:sz w:val="24"/>
          <w:szCs w:val="24"/>
        </w:rPr>
        <w:t>,</w:t>
      </w:r>
      <w:r w:rsidRPr="00E16CCC">
        <w:rPr>
          <w:sz w:val="24"/>
          <w:szCs w:val="24"/>
        </w:rPr>
        <w:t xml:space="preserve"> </w:t>
      </w:r>
      <w:r w:rsidR="00D8588D" w:rsidRPr="00E16CCC">
        <w:rPr>
          <w:sz w:val="24"/>
          <w:szCs w:val="24"/>
        </w:rPr>
        <w:t xml:space="preserve">for example, </w:t>
      </w:r>
      <w:r w:rsidRPr="00E16CCC">
        <w:rPr>
          <w:sz w:val="24"/>
          <w:szCs w:val="24"/>
        </w:rPr>
        <w:t xml:space="preserve">current work by the </w:t>
      </w:r>
      <w:r w:rsidR="006015E3" w:rsidRPr="00E16CCC">
        <w:rPr>
          <w:sz w:val="24"/>
          <w:szCs w:val="24"/>
        </w:rPr>
        <w:t xml:space="preserve">UNCDF/UNDP </w:t>
      </w:r>
      <w:r w:rsidRPr="00E16CCC">
        <w:rPr>
          <w:sz w:val="24"/>
          <w:szCs w:val="24"/>
        </w:rPr>
        <w:t xml:space="preserve">Pacific Inclusive Finance Programme (PFIP) to develop a tool to measure and validate the impacts on customer </w:t>
      </w:r>
      <w:r w:rsidR="00776DC3" w:rsidRPr="00E16CCC">
        <w:rPr>
          <w:sz w:val="24"/>
          <w:szCs w:val="24"/>
        </w:rPr>
        <w:t xml:space="preserve">behaviour </w:t>
      </w:r>
      <w:r w:rsidR="008B3E49" w:rsidRPr="00E16CCC">
        <w:rPr>
          <w:sz w:val="24"/>
          <w:szCs w:val="24"/>
        </w:rPr>
        <w:t xml:space="preserve">from the use of digital financial services </w:t>
      </w:r>
      <w:r w:rsidR="001346E2" w:rsidRPr="00E16CCC">
        <w:rPr>
          <w:sz w:val="24"/>
          <w:szCs w:val="24"/>
        </w:rPr>
        <w:t xml:space="preserve">in a similar way to the approaches adopted by </w:t>
      </w:r>
      <w:r w:rsidR="008B3E49" w:rsidRPr="00E16CCC">
        <w:rPr>
          <w:sz w:val="24"/>
          <w:szCs w:val="24"/>
        </w:rPr>
        <w:t xml:space="preserve">well-known </w:t>
      </w:r>
      <w:r w:rsidRPr="00E16CCC">
        <w:rPr>
          <w:sz w:val="24"/>
          <w:szCs w:val="24"/>
        </w:rPr>
        <w:t>research</w:t>
      </w:r>
      <w:r w:rsidR="008B3E49" w:rsidRPr="00E16CCC">
        <w:rPr>
          <w:sz w:val="24"/>
          <w:szCs w:val="24"/>
        </w:rPr>
        <w:t xml:space="preserve"> </w:t>
      </w:r>
      <w:r w:rsidR="001346E2" w:rsidRPr="00E16CCC">
        <w:rPr>
          <w:sz w:val="24"/>
          <w:szCs w:val="24"/>
        </w:rPr>
        <w:t>approaches</w:t>
      </w:r>
      <w:r w:rsidRPr="00E16CCC">
        <w:rPr>
          <w:sz w:val="24"/>
          <w:szCs w:val="24"/>
        </w:rPr>
        <w:t>.</w:t>
      </w:r>
      <w:r w:rsidRPr="00E16CCC">
        <w:rPr>
          <w:rStyle w:val="FootnoteReference"/>
          <w:sz w:val="24"/>
          <w:szCs w:val="24"/>
        </w:rPr>
        <w:footnoteReference w:id="8"/>
      </w:r>
      <w:r w:rsidR="008B3E49" w:rsidRPr="00E16CCC">
        <w:rPr>
          <w:sz w:val="24"/>
          <w:szCs w:val="24"/>
        </w:rPr>
        <w:t> </w:t>
      </w:r>
      <w:r w:rsidRPr="00E16CCC">
        <w:rPr>
          <w:sz w:val="24"/>
          <w:szCs w:val="24"/>
        </w:rPr>
        <w:t>UNCDF plans to explore the adoption of this tool across other digital financial services (DFS) programming in 2018</w:t>
      </w:r>
      <w:r w:rsidR="001346E2" w:rsidRPr="00E16CCC">
        <w:rPr>
          <w:sz w:val="24"/>
          <w:szCs w:val="24"/>
        </w:rPr>
        <w:t xml:space="preserve"> - 2019</w:t>
      </w:r>
      <w:r w:rsidRPr="00E16CCC">
        <w:rPr>
          <w:sz w:val="24"/>
          <w:szCs w:val="24"/>
        </w:rPr>
        <w:t xml:space="preserve">, as well as </w:t>
      </w:r>
      <w:r w:rsidR="0038344C" w:rsidRPr="00E16CCC">
        <w:rPr>
          <w:sz w:val="24"/>
          <w:szCs w:val="24"/>
        </w:rPr>
        <w:t xml:space="preserve">the </w:t>
      </w:r>
      <w:r w:rsidR="001346E2" w:rsidRPr="00E16CCC">
        <w:rPr>
          <w:sz w:val="24"/>
          <w:szCs w:val="24"/>
        </w:rPr>
        <w:t xml:space="preserve">possibility of </w:t>
      </w:r>
      <w:r w:rsidRPr="00E16CCC">
        <w:rPr>
          <w:sz w:val="24"/>
          <w:szCs w:val="24"/>
        </w:rPr>
        <w:t>develop</w:t>
      </w:r>
      <w:r w:rsidR="001346E2" w:rsidRPr="00E16CCC">
        <w:rPr>
          <w:sz w:val="24"/>
          <w:szCs w:val="24"/>
        </w:rPr>
        <w:t xml:space="preserve">ing </w:t>
      </w:r>
      <w:r w:rsidRPr="00E16CCC">
        <w:rPr>
          <w:sz w:val="24"/>
          <w:szCs w:val="24"/>
        </w:rPr>
        <w:t>a similar tool for capturing the effect of savings on women</w:t>
      </w:r>
      <w:r w:rsidR="006015E3" w:rsidRPr="00E16CCC">
        <w:rPr>
          <w:sz w:val="24"/>
          <w:szCs w:val="24"/>
        </w:rPr>
        <w:t>’s</w:t>
      </w:r>
      <w:r w:rsidRPr="00E16CCC">
        <w:rPr>
          <w:sz w:val="24"/>
          <w:szCs w:val="24"/>
        </w:rPr>
        <w:t xml:space="preserve"> and girl’s economic empowerment.    </w:t>
      </w:r>
    </w:p>
    <w:p w14:paraId="37012201" w14:textId="77777777" w:rsidR="008B3E49" w:rsidRPr="00E16CCC" w:rsidRDefault="00F8646D" w:rsidP="00695E2D">
      <w:pPr>
        <w:jc w:val="both"/>
        <w:rPr>
          <w:sz w:val="24"/>
          <w:szCs w:val="24"/>
        </w:rPr>
      </w:pPr>
      <w:r w:rsidRPr="00E16CCC">
        <w:rPr>
          <w:sz w:val="24"/>
          <w:szCs w:val="24"/>
        </w:rPr>
        <w:t>In the field of local development finance</w:t>
      </w:r>
      <w:r w:rsidR="000F622C" w:rsidRPr="00E16CCC">
        <w:rPr>
          <w:sz w:val="24"/>
          <w:szCs w:val="24"/>
        </w:rPr>
        <w:t>,</w:t>
      </w:r>
      <w:r w:rsidRPr="00E16CCC">
        <w:rPr>
          <w:sz w:val="24"/>
          <w:szCs w:val="24"/>
        </w:rPr>
        <w:t xml:space="preserve"> the </w:t>
      </w:r>
      <w:r w:rsidR="000F622C" w:rsidRPr="00E16CCC">
        <w:rPr>
          <w:sz w:val="24"/>
          <w:szCs w:val="24"/>
        </w:rPr>
        <w:t>E</w:t>
      </w:r>
      <w:r w:rsidRPr="00E16CCC">
        <w:rPr>
          <w:sz w:val="24"/>
          <w:szCs w:val="24"/>
        </w:rPr>
        <w:t xml:space="preserve">valuation </w:t>
      </w:r>
      <w:r w:rsidR="000F622C" w:rsidRPr="00E16CCC">
        <w:rPr>
          <w:sz w:val="24"/>
          <w:szCs w:val="24"/>
        </w:rPr>
        <w:t>U</w:t>
      </w:r>
      <w:r w:rsidRPr="00E16CCC">
        <w:rPr>
          <w:sz w:val="24"/>
          <w:szCs w:val="24"/>
        </w:rPr>
        <w:t>nit will support the ongoing work on str</w:t>
      </w:r>
      <w:r w:rsidR="00841FB3" w:rsidRPr="00E16CCC">
        <w:rPr>
          <w:sz w:val="24"/>
          <w:szCs w:val="24"/>
        </w:rPr>
        <w:t>uctural transformation of least-</w:t>
      </w:r>
      <w:r w:rsidRPr="00E16CCC">
        <w:rPr>
          <w:sz w:val="24"/>
          <w:szCs w:val="24"/>
        </w:rPr>
        <w:t>developed country economies</w:t>
      </w:r>
      <w:r w:rsidR="00C041C7" w:rsidRPr="00E16CCC">
        <w:rPr>
          <w:sz w:val="24"/>
          <w:szCs w:val="24"/>
        </w:rPr>
        <w:t>,</w:t>
      </w:r>
      <w:r w:rsidRPr="00E16CCC">
        <w:rPr>
          <w:sz w:val="24"/>
          <w:szCs w:val="24"/>
        </w:rPr>
        <w:t xml:space="preserve"> including the importance of local fixed capital formation and local fiscal space for transformative development and how to measure this in a meaningful way. The </w:t>
      </w:r>
      <w:r w:rsidR="000F622C" w:rsidRPr="00E16CCC">
        <w:rPr>
          <w:sz w:val="24"/>
          <w:szCs w:val="24"/>
        </w:rPr>
        <w:t>E</w:t>
      </w:r>
      <w:r w:rsidRPr="00E16CCC">
        <w:rPr>
          <w:sz w:val="24"/>
          <w:szCs w:val="24"/>
        </w:rPr>
        <w:t xml:space="preserve">valuation </w:t>
      </w:r>
      <w:r w:rsidR="000F622C" w:rsidRPr="00E16CCC">
        <w:rPr>
          <w:sz w:val="24"/>
          <w:szCs w:val="24"/>
        </w:rPr>
        <w:t>U</w:t>
      </w:r>
      <w:r w:rsidRPr="00E16CCC">
        <w:rPr>
          <w:sz w:val="24"/>
          <w:szCs w:val="24"/>
        </w:rPr>
        <w:t>nit will also support the wider research on the interface between space, location and development – which is at the heart of the local development finance approach.</w:t>
      </w:r>
    </w:p>
    <w:p w14:paraId="41824BE4" w14:textId="77777777" w:rsidR="00311ADD" w:rsidRPr="00E16CCC" w:rsidRDefault="00311ADD" w:rsidP="00695E2D">
      <w:pPr>
        <w:jc w:val="both"/>
        <w:rPr>
          <w:sz w:val="24"/>
          <w:szCs w:val="24"/>
        </w:rPr>
      </w:pPr>
      <w:r w:rsidRPr="00E16CCC">
        <w:rPr>
          <w:sz w:val="24"/>
          <w:szCs w:val="24"/>
        </w:rPr>
        <w:t xml:space="preserve">More generally, UNCDF will continue to </w:t>
      </w:r>
      <w:r w:rsidR="00222ED9" w:rsidRPr="00E16CCC">
        <w:rPr>
          <w:sz w:val="24"/>
          <w:szCs w:val="24"/>
        </w:rPr>
        <w:t xml:space="preserve">actively track and remain </w:t>
      </w:r>
      <w:r w:rsidRPr="00E16CCC">
        <w:rPr>
          <w:sz w:val="24"/>
          <w:szCs w:val="24"/>
        </w:rPr>
        <w:t xml:space="preserve">informed by the results of key research and evaluation from its broader </w:t>
      </w:r>
      <w:r w:rsidR="0038344C" w:rsidRPr="00E16CCC">
        <w:rPr>
          <w:sz w:val="24"/>
          <w:szCs w:val="24"/>
        </w:rPr>
        <w:t xml:space="preserve">policy and research </w:t>
      </w:r>
      <w:r w:rsidRPr="00E16CCC">
        <w:rPr>
          <w:sz w:val="24"/>
          <w:szCs w:val="24"/>
        </w:rPr>
        <w:t>peer networks such as those commissioned by the international financial institutions, or research universities that are working in the same areas as UNCDF.</w:t>
      </w:r>
    </w:p>
    <w:p w14:paraId="0C08C297" w14:textId="7D33D439" w:rsidR="00CC06BD" w:rsidRPr="00E16CCC" w:rsidRDefault="003157C9" w:rsidP="00695E2D">
      <w:pPr>
        <w:jc w:val="both"/>
        <w:rPr>
          <w:sz w:val="24"/>
          <w:szCs w:val="24"/>
          <w:u w:val="single"/>
        </w:rPr>
      </w:pPr>
      <w:r w:rsidRPr="00E16CCC">
        <w:rPr>
          <w:sz w:val="24"/>
          <w:szCs w:val="24"/>
          <w:u w:val="single"/>
        </w:rPr>
        <w:t>5</w:t>
      </w:r>
      <w:r w:rsidR="00CC06BD" w:rsidRPr="00E16CCC">
        <w:rPr>
          <w:sz w:val="24"/>
          <w:szCs w:val="24"/>
          <w:u w:val="single"/>
        </w:rPr>
        <w:t xml:space="preserve">. Collaboration with </w:t>
      </w:r>
      <w:r w:rsidR="000F3F59" w:rsidRPr="00E16CCC">
        <w:rPr>
          <w:sz w:val="24"/>
          <w:szCs w:val="24"/>
          <w:u w:val="single"/>
        </w:rPr>
        <w:t xml:space="preserve">UNDP’s </w:t>
      </w:r>
      <w:r w:rsidR="00CC06BD" w:rsidRPr="00E16CCC">
        <w:rPr>
          <w:sz w:val="24"/>
          <w:szCs w:val="24"/>
          <w:u w:val="single"/>
        </w:rPr>
        <w:t xml:space="preserve">Independent Evaluation Office </w:t>
      </w:r>
      <w:r w:rsidR="00F05DB4" w:rsidRPr="00E16CCC">
        <w:rPr>
          <w:sz w:val="24"/>
          <w:szCs w:val="24"/>
          <w:u w:val="single"/>
        </w:rPr>
        <w:t xml:space="preserve">(IEO) </w:t>
      </w:r>
      <w:r w:rsidR="00CC06BD" w:rsidRPr="00E16CCC">
        <w:rPr>
          <w:sz w:val="24"/>
          <w:szCs w:val="24"/>
          <w:u w:val="single"/>
        </w:rPr>
        <w:t xml:space="preserve">and other </w:t>
      </w:r>
      <w:r w:rsidR="00905372" w:rsidRPr="00E16CCC">
        <w:rPr>
          <w:sz w:val="24"/>
          <w:szCs w:val="24"/>
          <w:u w:val="single"/>
        </w:rPr>
        <w:t xml:space="preserve">external </w:t>
      </w:r>
      <w:r w:rsidR="00CC06BD" w:rsidRPr="00E16CCC">
        <w:rPr>
          <w:sz w:val="24"/>
          <w:szCs w:val="24"/>
          <w:u w:val="single"/>
        </w:rPr>
        <w:t>partners</w:t>
      </w:r>
    </w:p>
    <w:p w14:paraId="2CA787B6" w14:textId="77777777" w:rsidR="00F609E7" w:rsidRDefault="00F609E7" w:rsidP="00F609E7">
      <w:pPr>
        <w:jc w:val="both"/>
      </w:pPr>
      <w:r w:rsidRPr="00F609E7">
        <w:rPr>
          <w:sz w:val="24"/>
          <w:szCs w:val="24"/>
        </w:rPr>
        <w:t xml:space="preserve">In line with the UNDP Evaluation Policy, to which UNCDF is party, UNCDF greatly appreciates its partnership with the Independent Evaluation Office from which it receives support and guidance on evaluation quality and approaches, as well as – where relevant -  additional evaluation </w:t>
      </w:r>
      <w:r w:rsidRPr="00F609E7">
        <w:rPr>
          <w:sz w:val="24"/>
          <w:szCs w:val="24"/>
        </w:rPr>
        <w:lastRenderedPageBreak/>
        <w:t>coverage in areas where UNDP and UNCDF are working closely together.  To this end, and as a complement to the findings emanating from its own evaluation function, UNCDF will continue to seek - wherever appropriate – inclusion of its joint work with UNDP in the IEO’s Independent Country Programme Evaluations, as well as IEO thematic evaluations that touch on areas of UNCDF specialization</w:t>
      </w:r>
      <w:r>
        <w:t>.</w:t>
      </w:r>
    </w:p>
    <w:p w14:paraId="7B80C996" w14:textId="76F29543" w:rsidR="00F609E7" w:rsidRPr="00F609E7" w:rsidRDefault="00F609E7" w:rsidP="00F609E7">
      <w:pPr>
        <w:rPr>
          <w:rFonts w:ascii="Calibri" w:hAnsi="Calibri"/>
          <w:color w:val="1F497D"/>
          <w:sz w:val="24"/>
          <w:szCs w:val="24"/>
        </w:rPr>
      </w:pPr>
      <w:r w:rsidRPr="00F609E7">
        <w:rPr>
          <w:sz w:val="24"/>
          <w:szCs w:val="24"/>
        </w:rPr>
        <w:t xml:space="preserve">With a view to ensuring the transparency of UNCDF’s evaluation results, UNCDF will continue in line with its commitments under the Evaluation Policy to present the key evaluation results and activities of its evaluation function in the IEO’s Annual Report on Evaluation to the Executive Board. This report will also include the results of the systematic external assessment by the IEO of every completed UNCDF evaluation before its publication on UNDP’s Evaluation Resource Center in line with UN norms and standards for evaluation. </w:t>
      </w:r>
      <w:r w:rsidRPr="00900B96">
        <w:rPr>
          <w:sz w:val="24"/>
          <w:szCs w:val="24"/>
        </w:rPr>
        <w:t>Finally, the IEO will conduct</w:t>
      </w:r>
      <w:r w:rsidR="00900B96">
        <w:rPr>
          <w:sz w:val="24"/>
          <w:szCs w:val="24"/>
        </w:rPr>
        <w:t>,</w:t>
      </w:r>
      <w:r w:rsidRPr="00900B96">
        <w:rPr>
          <w:sz w:val="24"/>
          <w:szCs w:val="24"/>
        </w:rPr>
        <w:t xml:space="preserve"> and finance </w:t>
      </w:r>
      <w:r w:rsidR="00900B96">
        <w:rPr>
          <w:sz w:val="24"/>
          <w:szCs w:val="24"/>
        </w:rPr>
        <w:t xml:space="preserve">50% of, </w:t>
      </w:r>
      <w:r w:rsidR="00024698">
        <w:rPr>
          <w:sz w:val="24"/>
          <w:szCs w:val="24"/>
        </w:rPr>
        <w:t xml:space="preserve">the final </w:t>
      </w:r>
      <w:r w:rsidRPr="00900B96">
        <w:rPr>
          <w:sz w:val="24"/>
          <w:szCs w:val="24"/>
        </w:rPr>
        <w:t xml:space="preserve">evaluation of UNCDF’s Strategic Framework </w:t>
      </w:r>
      <w:r w:rsidR="00502E94">
        <w:rPr>
          <w:sz w:val="24"/>
          <w:szCs w:val="24"/>
        </w:rPr>
        <w:t xml:space="preserve">2018-2021 </w:t>
      </w:r>
      <w:r w:rsidR="00024698">
        <w:rPr>
          <w:sz w:val="24"/>
          <w:szCs w:val="24"/>
        </w:rPr>
        <w:t xml:space="preserve">which will </w:t>
      </w:r>
      <w:r w:rsidRPr="00900B96">
        <w:rPr>
          <w:sz w:val="24"/>
          <w:szCs w:val="24"/>
        </w:rPr>
        <w:t>inform the drafting of UNCDF’s subsequent planning framework.</w:t>
      </w:r>
      <w:r w:rsidRPr="00F609E7">
        <w:rPr>
          <w:sz w:val="24"/>
          <w:szCs w:val="24"/>
        </w:rPr>
        <w:t xml:space="preserve"> </w:t>
      </w:r>
      <w:r w:rsidRPr="00F609E7">
        <w:rPr>
          <w:rFonts w:ascii="Calibri" w:hAnsi="Calibri"/>
          <w:color w:val="1F497D"/>
          <w:sz w:val="24"/>
          <w:szCs w:val="24"/>
        </w:rPr>
        <w:t> </w:t>
      </w:r>
    </w:p>
    <w:p w14:paraId="3C53BC04" w14:textId="270C08CC" w:rsidR="00867378" w:rsidRPr="00E16CCC" w:rsidRDefault="0025409C" w:rsidP="00695E2D">
      <w:pPr>
        <w:jc w:val="both"/>
        <w:rPr>
          <w:sz w:val="24"/>
          <w:szCs w:val="24"/>
        </w:rPr>
      </w:pPr>
      <w:r w:rsidRPr="00E16CCC">
        <w:rPr>
          <w:sz w:val="24"/>
          <w:szCs w:val="24"/>
        </w:rPr>
        <w:t xml:space="preserve">With a view to maximizing the relevance and utility of its evaluation work, UNCDF will </w:t>
      </w:r>
      <w:r w:rsidR="003445ED" w:rsidRPr="00E16CCC">
        <w:rPr>
          <w:sz w:val="24"/>
          <w:szCs w:val="24"/>
        </w:rPr>
        <w:t xml:space="preserve">also </w:t>
      </w:r>
      <w:r w:rsidRPr="00E16CCC">
        <w:rPr>
          <w:sz w:val="24"/>
          <w:szCs w:val="24"/>
        </w:rPr>
        <w:t>continue – whe</w:t>
      </w:r>
      <w:r w:rsidR="00322E32" w:rsidRPr="00E16CCC">
        <w:rPr>
          <w:sz w:val="24"/>
          <w:szCs w:val="24"/>
        </w:rPr>
        <w:t xml:space="preserve">rever </w:t>
      </w:r>
      <w:r w:rsidRPr="00E16CCC">
        <w:rPr>
          <w:sz w:val="24"/>
          <w:szCs w:val="24"/>
        </w:rPr>
        <w:t xml:space="preserve">possible – to work with its development partners </w:t>
      </w:r>
      <w:r w:rsidR="002037FF" w:rsidRPr="00E16CCC">
        <w:rPr>
          <w:sz w:val="24"/>
          <w:szCs w:val="24"/>
        </w:rPr>
        <w:t>in the design and conduct of its evaluation programme. This can take the form, for example, of joint evaluation</w:t>
      </w:r>
      <w:r w:rsidR="00561998" w:rsidRPr="00E16CCC">
        <w:rPr>
          <w:sz w:val="24"/>
          <w:szCs w:val="24"/>
        </w:rPr>
        <w:t>s</w:t>
      </w:r>
      <w:r w:rsidR="00D275A0" w:rsidRPr="00E16CCC">
        <w:rPr>
          <w:sz w:val="24"/>
          <w:szCs w:val="24"/>
        </w:rPr>
        <w:t xml:space="preserve"> such as the mid-</w:t>
      </w:r>
      <w:r w:rsidRPr="00E16CCC">
        <w:rPr>
          <w:sz w:val="24"/>
          <w:szCs w:val="24"/>
        </w:rPr>
        <w:t xml:space="preserve">term evaluation of the </w:t>
      </w:r>
      <w:r w:rsidRPr="00E16CCC">
        <w:rPr>
          <w:i/>
          <w:sz w:val="24"/>
          <w:szCs w:val="24"/>
        </w:rPr>
        <w:t>Making Access to Finance More Inclusive for Poor People</w:t>
      </w:r>
      <w:r w:rsidRPr="00E16CCC">
        <w:rPr>
          <w:sz w:val="24"/>
          <w:szCs w:val="24"/>
        </w:rPr>
        <w:t xml:space="preserve"> programme in Lao PDR</w:t>
      </w:r>
      <w:r w:rsidRPr="00E16CCC">
        <w:rPr>
          <w:rStyle w:val="FootnoteReference"/>
          <w:sz w:val="24"/>
          <w:szCs w:val="24"/>
        </w:rPr>
        <w:footnoteReference w:id="9"/>
      </w:r>
      <w:r w:rsidRPr="00E16CCC">
        <w:rPr>
          <w:sz w:val="24"/>
          <w:szCs w:val="24"/>
        </w:rPr>
        <w:t xml:space="preserve"> that was commissioned in </w:t>
      </w:r>
      <w:r w:rsidR="00CA73D3" w:rsidRPr="00E16CCC">
        <w:rPr>
          <w:sz w:val="24"/>
          <w:szCs w:val="24"/>
        </w:rPr>
        <w:t xml:space="preserve">direct support of a broader country evaluation being conducted by </w:t>
      </w:r>
      <w:r w:rsidRPr="00E16CCC">
        <w:rPr>
          <w:sz w:val="24"/>
          <w:szCs w:val="24"/>
        </w:rPr>
        <w:t>Australia’s Department of Foreign Affairs and Trade in 2016</w:t>
      </w:r>
      <w:r w:rsidR="003A40FF" w:rsidRPr="00E16CCC">
        <w:rPr>
          <w:sz w:val="24"/>
          <w:szCs w:val="24"/>
        </w:rPr>
        <w:t>. It could also include</w:t>
      </w:r>
      <w:r w:rsidR="00121F82" w:rsidRPr="00E16CCC">
        <w:rPr>
          <w:sz w:val="24"/>
          <w:szCs w:val="24"/>
        </w:rPr>
        <w:t xml:space="preserve"> </w:t>
      </w:r>
      <w:r w:rsidR="00CA73D3" w:rsidRPr="00E16CCC">
        <w:rPr>
          <w:sz w:val="24"/>
          <w:szCs w:val="24"/>
        </w:rPr>
        <w:t xml:space="preserve">participation in the evaluation itself – such as the </w:t>
      </w:r>
      <w:r w:rsidR="008316D6" w:rsidRPr="00E16CCC">
        <w:rPr>
          <w:sz w:val="24"/>
          <w:szCs w:val="24"/>
        </w:rPr>
        <w:t xml:space="preserve">evaluation of UNCDF’s </w:t>
      </w:r>
      <w:r w:rsidR="008316D6" w:rsidRPr="00E16CCC">
        <w:rPr>
          <w:i/>
          <w:sz w:val="24"/>
          <w:szCs w:val="24"/>
        </w:rPr>
        <w:t>Local Develop</w:t>
      </w:r>
      <w:r w:rsidR="00561998" w:rsidRPr="00E16CCC">
        <w:rPr>
          <w:i/>
          <w:sz w:val="24"/>
          <w:szCs w:val="24"/>
        </w:rPr>
        <w:t>ment Support Programme</w:t>
      </w:r>
      <w:r w:rsidR="00561998" w:rsidRPr="00E16CCC">
        <w:rPr>
          <w:sz w:val="24"/>
          <w:szCs w:val="24"/>
        </w:rPr>
        <w:t xml:space="preserve"> in Niger also in 2016</w:t>
      </w:r>
      <w:r w:rsidR="009441C1" w:rsidRPr="00E16CCC">
        <w:rPr>
          <w:sz w:val="24"/>
          <w:szCs w:val="24"/>
        </w:rPr>
        <w:t xml:space="preserve"> - </w:t>
      </w:r>
      <w:r w:rsidR="008316D6" w:rsidRPr="00E16CCC">
        <w:rPr>
          <w:sz w:val="24"/>
          <w:szCs w:val="24"/>
        </w:rPr>
        <w:t xml:space="preserve">in which government officials </w:t>
      </w:r>
      <w:r w:rsidR="00561998" w:rsidRPr="00E16CCC">
        <w:rPr>
          <w:sz w:val="24"/>
          <w:szCs w:val="24"/>
        </w:rPr>
        <w:t xml:space="preserve">from the Ministry of Decentralisation </w:t>
      </w:r>
      <w:r w:rsidR="00046902" w:rsidRPr="00E16CCC">
        <w:rPr>
          <w:sz w:val="24"/>
          <w:szCs w:val="24"/>
        </w:rPr>
        <w:t xml:space="preserve">of Niger </w:t>
      </w:r>
      <w:r w:rsidR="008316D6" w:rsidRPr="00E16CCC">
        <w:rPr>
          <w:sz w:val="24"/>
          <w:szCs w:val="24"/>
        </w:rPr>
        <w:t xml:space="preserve">participated </w:t>
      </w:r>
      <w:r w:rsidR="004C3169" w:rsidRPr="00E16CCC">
        <w:rPr>
          <w:sz w:val="24"/>
          <w:szCs w:val="24"/>
        </w:rPr>
        <w:t xml:space="preserve">as members of the evaluation team </w:t>
      </w:r>
      <w:r w:rsidR="008316D6" w:rsidRPr="00E16CCC">
        <w:rPr>
          <w:sz w:val="24"/>
          <w:szCs w:val="24"/>
        </w:rPr>
        <w:t xml:space="preserve">in the data collection </w:t>
      </w:r>
      <w:r w:rsidR="00561998" w:rsidRPr="00E16CCC">
        <w:rPr>
          <w:sz w:val="24"/>
          <w:szCs w:val="24"/>
        </w:rPr>
        <w:t xml:space="preserve">part of the exercise. </w:t>
      </w:r>
      <w:r w:rsidRPr="00E16CCC">
        <w:rPr>
          <w:sz w:val="24"/>
          <w:szCs w:val="24"/>
        </w:rPr>
        <w:t xml:space="preserve"> </w:t>
      </w:r>
      <w:r w:rsidR="005A3A8A" w:rsidRPr="00E16CCC">
        <w:rPr>
          <w:sz w:val="24"/>
          <w:szCs w:val="24"/>
        </w:rPr>
        <w:t xml:space="preserve">UNCDF will also seek to ensure – where appropriate – coverage of its work in relevant UNDAF evaluations looking </w:t>
      </w:r>
      <w:r w:rsidR="005A3A8A" w:rsidRPr="00E16CCC">
        <w:rPr>
          <w:i/>
          <w:sz w:val="24"/>
          <w:szCs w:val="24"/>
        </w:rPr>
        <w:t>inter alia</w:t>
      </w:r>
      <w:r w:rsidR="005A3A8A" w:rsidRPr="00E16CCC">
        <w:rPr>
          <w:sz w:val="24"/>
          <w:szCs w:val="24"/>
        </w:rPr>
        <w:t xml:space="preserve"> at the quality of cooperation between UNCDF and other UN partners.</w:t>
      </w:r>
    </w:p>
    <w:p w14:paraId="7360B9D2" w14:textId="42012439" w:rsidR="00CC06BD" w:rsidRDefault="002E09CF" w:rsidP="00695E2D">
      <w:pPr>
        <w:jc w:val="both"/>
        <w:rPr>
          <w:sz w:val="24"/>
          <w:szCs w:val="24"/>
        </w:rPr>
      </w:pPr>
      <w:r w:rsidRPr="00E16CCC">
        <w:rPr>
          <w:sz w:val="24"/>
          <w:szCs w:val="24"/>
        </w:rPr>
        <w:t>Finally, and as</w:t>
      </w:r>
      <w:r w:rsidR="009D1190" w:rsidRPr="00E16CCC">
        <w:rPr>
          <w:sz w:val="24"/>
          <w:szCs w:val="24"/>
        </w:rPr>
        <w:t xml:space="preserve"> in previous years, UNCDF’s Evaluation Unit will continue to support actively the work of the United Nations Evaluation Group </w:t>
      </w:r>
      <w:r w:rsidR="00024F13" w:rsidRPr="00E16CCC">
        <w:rPr>
          <w:sz w:val="24"/>
          <w:szCs w:val="24"/>
        </w:rPr>
        <w:t xml:space="preserve">from which it </w:t>
      </w:r>
      <w:r w:rsidR="00D275A0" w:rsidRPr="00E16CCC">
        <w:rPr>
          <w:sz w:val="24"/>
          <w:szCs w:val="24"/>
        </w:rPr>
        <w:t xml:space="preserve">will </w:t>
      </w:r>
      <w:r w:rsidR="00F50BF5" w:rsidRPr="00E16CCC">
        <w:rPr>
          <w:sz w:val="24"/>
          <w:szCs w:val="24"/>
        </w:rPr>
        <w:t xml:space="preserve">seek </w:t>
      </w:r>
      <w:r w:rsidR="00024F13" w:rsidRPr="00E16CCC">
        <w:rPr>
          <w:sz w:val="24"/>
          <w:szCs w:val="24"/>
        </w:rPr>
        <w:t>guidance and support in implementing its evaluation plan in line with UN norms and standards for evaluation. I</w:t>
      </w:r>
      <w:r w:rsidR="009D1190" w:rsidRPr="00E16CCC">
        <w:rPr>
          <w:sz w:val="24"/>
          <w:szCs w:val="24"/>
        </w:rPr>
        <w:t xml:space="preserve">t will </w:t>
      </w:r>
      <w:r w:rsidR="009B1E1C" w:rsidRPr="00E16CCC">
        <w:rPr>
          <w:sz w:val="24"/>
          <w:szCs w:val="24"/>
        </w:rPr>
        <w:t xml:space="preserve">also </w:t>
      </w:r>
      <w:r w:rsidR="00024F13" w:rsidRPr="00E16CCC">
        <w:rPr>
          <w:sz w:val="24"/>
          <w:szCs w:val="24"/>
        </w:rPr>
        <w:t xml:space="preserve">continue </w:t>
      </w:r>
      <w:r w:rsidR="007A2DCB" w:rsidRPr="00E16CCC">
        <w:rPr>
          <w:sz w:val="24"/>
          <w:szCs w:val="24"/>
        </w:rPr>
        <w:t xml:space="preserve">to build </w:t>
      </w:r>
      <w:r w:rsidR="009D1190" w:rsidRPr="00E16CCC">
        <w:rPr>
          <w:sz w:val="24"/>
          <w:szCs w:val="24"/>
        </w:rPr>
        <w:t>partnership</w:t>
      </w:r>
      <w:r w:rsidR="00501E0B" w:rsidRPr="00E16CCC">
        <w:rPr>
          <w:sz w:val="24"/>
          <w:szCs w:val="24"/>
        </w:rPr>
        <w:t>s</w:t>
      </w:r>
      <w:r w:rsidR="009D1190" w:rsidRPr="00E16CCC">
        <w:rPr>
          <w:sz w:val="24"/>
          <w:szCs w:val="24"/>
        </w:rPr>
        <w:t xml:space="preserve"> with other entities in the international system </w:t>
      </w:r>
      <w:r w:rsidR="0004316F" w:rsidRPr="00E16CCC">
        <w:rPr>
          <w:sz w:val="24"/>
          <w:szCs w:val="24"/>
        </w:rPr>
        <w:t>working on topics of interest and relevance to UNCDF</w:t>
      </w:r>
      <w:r w:rsidR="007A2DCB" w:rsidRPr="00E16CCC">
        <w:rPr>
          <w:sz w:val="24"/>
          <w:szCs w:val="24"/>
        </w:rPr>
        <w:t>,</w:t>
      </w:r>
      <w:r w:rsidR="0004316F" w:rsidRPr="00E16CCC">
        <w:rPr>
          <w:sz w:val="24"/>
          <w:szCs w:val="24"/>
        </w:rPr>
        <w:t xml:space="preserve"> </w:t>
      </w:r>
      <w:r w:rsidR="00BA665C" w:rsidRPr="00E16CCC">
        <w:rPr>
          <w:sz w:val="24"/>
          <w:szCs w:val="24"/>
        </w:rPr>
        <w:t xml:space="preserve">such as the evaluation offices of the international financial institutions, </w:t>
      </w:r>
      <w:r w:rsidR="0004316F" w:rsidRPr="00E16CCC">
        <w:rPr>
          <w:sz w:val="24"/>
          <w:szCs w:val="24"/>
        </w:rPr>
        <w:t xml:space="preserve">OECD expert working groups on measurement </w:t>
      </w:r>
      <w:r w:rsidR="00BA665C" w:rsidRPr="00E16CCC">
        <w:rPr>
          <w:sz w:val="24"/>
          <w:szCs w:val="24"/>
        </w:rPr>
        <w:t>as well as regional evaluation associations such as the European Evaluation Society</w:t>
      </w:r>
      <w:r w:rsidR="009D4063" w:rsidRPr="00E16CCC">
        <w:rPr>
          <w:sz w:val="24"/>
          <w:szCs w:val="24"/>
        </w:rPr>
        <w:t xml:space="preserve">. </w:t>
      </w:r>
      <w:r w:rsidR="009B1E1C" w:rsidRPr="00E16CCC">
        <w:rPr>
          <w:sz w:val="24"/>
          <w:szCs w:val="24"/>
        </w:rPr>
        <w:t xml:space="preserve"> </w:t>
      </w:r>
      <w:r w:rsidR="007A2DCB" w:rsidRPr="00E16CCC">
        <w:rPr>
          <w:sz w:val="24"/>
          <w:szCs w:val="24"/>
        </w:rPr>
        <w:t xml:space="preserve">Taken together, </w:t>
      </w:r>
      <w:r w:rsidR="00905372" w:rsidRPr="00E16CCC">
        <w:rPr>
          <w:sz w:val="24"/>
          <w:szCs w:val="24"/>
        </w:rPr>
        <w:t>this will help ensure that UNCDF’s methods and approaches to evaluation remain up-to-date and relevant to the task of effectively evaluating the development objectives that UNCDF has committed to in its Strategic Framework.</w:t>
      </w:r>
      <w:r w:rsidR="00905372">
        <w:rPr>
          <w:sz w:val="24"/>
          <w:szCs w:val="24"/>
        </w:rPr>
        <w:t xml:space="preserve"> </w:t>
      </w:r>
    </w:p>
    <w:p w14:paraId="04EB1CB0" w14:textId="77777777" w:rsidR="00126BC3" w:rsidRDefault="00126BC3">
      <w:pPr>
        <w:rPr>
          <w:sz w:val="24"/>
          <w:szCs w:val="24"/>
          <w:u w:val="single"/>
        </w:rPr>
      </w:pPr>
      <w:r>
        <w:rPr>
          <w:sz w:val="24"/>
          <w:szCs w:val="24"/>
          <w:u w:val="single"/>
        </w:rPr>
        <w:br w:type="page"/>
      </w:r>
    </w:p>
    <w:p w14:paraId="60C59B5B" w14:textId="43A7516A" w:rsidR="002914D9" w:rsidRDefault="001653FB" w:rsidP="00695E2D">
      <w:pPr>
        <w:jc w:val="both"/>
        <w:rPr>
          <w:sz w:val="24"/>
          <w:szCs w:val="24"/>
          <w:u w:val="single"/>
        </w:rPr>
      </w:pPr>
      <w:r>
        <w:rPr>
          <w:sz w:val="24"/>
          <w:szCs w:val="24"/>
          <w:u w:val="single"/>
        </w:rPr>
        <w:lastRenderedPageBreak/>
        <w:t>6</w:t>
      </w:r>
      <w:r w:rsidR="002914D9">
        <w:rPr>
          <w:sz w:val="24"/>
          <w:szCs w:val="24"/>
          <w:u w:val="single"/>
        </w:rPr>
        <w:t>. Proposed evaluation plan 2018 – 2021</w:t>
      </w:r>
    </w:p>
    <w:p w14:paraId="17E5EBD2" w14:textId="77777777" w:rsidR="004625AC" w:rsidRDefault="005E7910" w:rsidP="00695E2D">
      <w:pPr>
        <w:jc w:val="both"/>
        <w:rPr>
          <w:sz w:val="24"/>
          <w:szCs w:val="24"/>
        </w:rPr>
      </w:pPr>
      <w:r>
        <w:rPr>
          <w:sz w:val="24"/>
          <w:szCs w:val="24"/>
        </w:rPr>
        <w:t xml:space="preserve">The </w:t>
      </w:r>
      <w:r w:rsidR="00710275">
        <w:rPr>
          <w:sz w:val="24"/>
          <w:szCs w:val="24"/>
        </w:rPr>
        <w:t>t</w:t>
      </w:r>
      <w:r>
        <w:rPr>
          <w:sz w:val="24"/>
          <w:szCs w:val="24"/>
        </w:rPr>
        <w:t xml:space="preserve">able below </w:t>
      </w:r>
      <w:r w:rsidR="00710275">
        <w:rPr>
          <w:sz w:val="24"/>
          <w:szCs w:val="24"/>
        </w:rPr>
        <w:t xml:space="preserve">presents the </w:t>
      </w:r>
      <w:r w:rsidR="00927CA5">
        <w:rPr>
          <w:sz w:val="24"/>
          <w:szCs w:val="24"/>
        </w:rPr>
        <w:t>indicative evaluation plan for the period 2018 – 2021</w:t>
      </w:r>
      <w:r w:rsidR="000B5225">
        <w:rPr>
          <w:sz w:val="24"/>
          <w:szCs w:val="24"/>
        </w:rPr>
        <w:t xml:space="preserve"> </w:t>
      </w:r>
      <w:r w:rsidR="00451E37">
        <w:rPr>
          <w:sz w:val="24"/>
          <w:szCs w:val="24"/>
        </w:rPr>
        <w:t xml:space="preserve">which was drawn up on the basis of </w:t>
      </w:r>
      <w:r w:rsidR="00CC0924">
        <w:rPr>
          <w:sz w:val="24"/>
          <w:szCs w:val="24"/>
        </w:rPr>
        <w:t xml:space="preserve">the process described above. </w:t>
      </w:r>
    </w:p>
    <w:p w14:paraId="6A949122" w14:textId="77777777" w:rsidR="00D97B24" w:rsidRDefault="00D97B24" w:rsidP="00E60C69">
      <w:pPr>
        <w:rPr>
          <w:sz w:val="24"/>
          <w:szCs w:val="24"/>
        </w:rPr>
        <w:sectPr w:rsidR="00D97B24" w:rsidSect="00D97B24">
          <w:footerReference w:type="default" r:id="rId8"/>
          <w:pgSz w:w="12240" w:h="15840"/>
          <w:pgMar w:top="1440" w:right="1440" w:bottom="1440" w:left="1440" w:header="720" w:footer="720" w:gutter="0"/>
          <w:cols w:space="720"/>
          <w:docGrid w:linePitch="360"/>
        </w:sectPr>
      </w:pPr>
    </w:p>
    <w:p w14:paraId="6090A7E1" w14:textId="77777777" w:rsidR="00451E37" w:rsidRDefault="00451E37" w:rsidP="00E60C69">
      <w:pPr>
        <w:rPr>
          <w:sz w:val="24"/>
          <w:szCs w:val="24"/>
        </w:rPr>
      </w:pPr>
    </w:p>
    <w:tbl>
      <w:tblPr>
        <w:tblW w:w="1475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3567"/>
        <w:gridCol w:w="1189"/>
        <w:gridCol w:w="1715"/>
        <w:gridCol w:w="1283"/>
        <w:gridCol w:w="1646"/>
        <w:gridCol w:w="1706"/>
        <w:gridCol w:w="1348"/>
        <w:gridCol w:w="1124"/>
      </w:tblGrid>
      <w:tr w:rsidR="00D75A61" w:rsidRPr="00C459A7" w14:paraId="1F5FB2AA" w14:textId="77777777" w:rsidTr="00322960">
        <w:trPr>
          <w:trHeight w:val="524"/>
        </w:trPr>
        <w:tc>
          <w:tcPr>
            <w:tcW w:w="14757" w:type="dxa"/>
            <w:gridSpan w:val="9"/>
            <w:shd w:val="clear" w:color="000000" w:fill="D9D9D9"/>
            <w:vAlign w:val="center"/>
            <w:hideMark/>
          </w:tcPr>
          <w:p w14:paraId="28855D79" w14:textId="77777777" w:rsidR="00D75A61" w:rsidRPr="00C459A7" w:rsidRDefault="00D75A61" w:rsidP="00AE7E0F">
            <w:pPr>
              <w:spacing w:after="0" w:line="240" w:lineRule="auto"/>
              <w:ind w:firstLine="615"/>
              <w:jc w:val="center"/>
              <w:rPr>
                <w:rFonts w:ascii="Calibri" w:eastAsia="Times New Roman" w:hAnsi="Calibri" w:cs="Times New Roman"/>
                <w:b/>
                <w:bCs/>
                <w:color w:val="000000"/>
                <w:sz w:val="40"/>
                <w:szCs w:val="40"/>
              </w:rPr>
            </w:pPr>
            <w:r w:rsidRPr="00C459A7">
              <w:rPr>
                <w:rFonts w:ascii="Calibri" w:eastAsia="Times New Roman" w:hAnsi="Calibri" w:cs="Times New Roman"/>
                <w:b/>
                <w:bCs/>
                <w:color w:val="000000"/>
                <w:sz w:val="40"/>
                <w:szCs w:val="40"/>
              </w:rPr>
              <w:t xml:space="preserve">UNCDF EVALUATION PLAN 2018 - 2021  </w:t>
            </w:r>
          </w:p>
        </w:tc>
      </w:tr>
      <w:tr w:rsidR="00D97B24" w:rsidRPr="00C459A7" w14:paraId="0B6DD418" w14:textId="77777777" w:rsidTr="00053C59">
        <w:trPr>
          <w:trHeight w:val="607"/>
        </w:trPr>
        <w:tc>
          <w:tcPr>
            <w:tcW w:w="1179" w:type="dxa"/>
            <w:shd w:val="clear" w:color="000000" w:fill="ACB9CA"/>
            <w:vAlign w:val="center"/>
            <w:hideMark/>
          </w:tcPr>
          <w:p w14:paraId="3555F714" w14:textId="77777777" w:rsidR="00D75A61" w:rsidRPr="00C459A7" w:rsidRDefault="00D75A61" w:rsidP="00AE7E0F">
            <w:pPr>
              <w:spacing w:after="0" w:line="240" w:lineRule="auto"/>
              <w:jc w:val="center"/>
              <w:rPr>
                <w:rFonts w:ascii="Calibri" w:eastAsia="Times New Roman" w:hAnsi="Calibri" w:cs="Times New Roman"/>
                <w:b/>
                <w:bCs/>
                <w:color w:val="000000"/>
              </w:rPr>
            </w:pPr>
            <w:r w:rsidRPr="00C459A7">
              <w:rPr>
                <w:rFonts w:ascii="Calibri" w:eastAsia="Times New Roman" w:hAnsi="Calibri" w:cs="Times New Roman"/>
                <w:b/>
                <w:bCs/>
                <w:color w:val="000000"/>
              </w:rPr>
              <w:t>Year</w:t>
            </w:r>
          </w:p>
        </w:tc>
        <w:tc>
          <w:tcPr>
            <w:tcW w:w="3567" w:type="dxa"/>
            <w:shd w:val="clear" w:color="000000" w:fill="ACB9CA"/>
            <w:vAlign w:val="center"/>
            <w:hideMark/>
          </w:tcPr>
          <w:p w14:paraId="3DF49381" w14:textId="77777777" w:rsidR="00D75A61" w:rsidRPr="00C459A7" w:rsidRDefault="00D75A61" w:rsidP="00AE7E0F">
            <w:pPr>
              <w:spacing w:after="0" w:line="240" w:lineRule="auto"/>
              <w:jc w:val="center"/>
              <w:rPr>
                <w:rFonts w:ascii="Calibri" w:eastAsia="Times New Roman" w:hAnsi="Calibri" w:cs="Times New Roman"/>
                <w:b/>
                <w:bCs/>
                <w:color w:val="000000"/>
              </w:rPr>
            </w:pPr>
            <w:r w:rsidRPr="00C459A7">
              <w:rPr>
                <w:rFonts w:ascii="Calibri" w:eastAsia="Times New Roman" w:hAnsi="Calibri" w:cs="Times New Roman"/>
                <w:b/>
                <w:bCs/>
                <w:color w:val="000000"/>
              </w:rPr>
              <w:t>Project Title</w:t>
            </w:r>
          </w:p>
        </w:tc>
        <w:tc>
          <w:tcPr>
            <w:tcW w:w="1189" w:type="dxa"/>
            <w:shd w:val="clear" w:color="000000" w:fill="ACB9CA"/>
            <w:vAlign w:val="center"/>
            <w:hideMark/>
          </w:tcPr>
          <w:p w14:paraId="6ACBA283" w14:textId="77777777" w:rsidR="00D75A61" w:rsidRPr="00C459A7" w:rsidRDefault="00D75A61" w:rsidP="00AE7E0F">
            <w:pPr>
              <w:spacing w:after="0" w:line="240" w:lineRule="auto"/>
              <w:jc w:val="center"/>
              <w:rPr>
                <w:rFonts w:ascii="Calibri" w:eastAsia="Times New Roman" w:hAnsi="Calibri" w:cs="Times New Roman"/>
                <w:b/>
                <w:bCs/>
                <w:color w:val="000000"/>
              </w:rPr>
            </w:pPr>
            <w:r w:rsidRPr="00C459A7">
              <w:rPr>
                <w:rFonts w:ascii="Calibri" w:eastAsia="Times New Roman" w:hAnsi="Calibri" w:cs="Times New Roman"/>
                <w:b/>
                <w:bCs/>
                <w:color w:val="000000"/>
              </w:rPr>
              <w:t>Country / Region</w:t>
            </w:r>
          </w:p>
        </w:tc>
        <w:tc>
          <w:tcPr>
            <w:tcW w:w="1715" w:type="dxa"/>
            <w:shd w:val="clear" w:color="000000" w:fill="ACB9CA"/>
            <w:vAlign w:val="center"/>
            <w:hideMark/>
          </w:tcPr>
          <w:p w14:paraId="212675F3" w14:textId="77777777" w:rsidR="00D75A61" w:rsidRPr="00C459A7" w:rsidRDefault="00D75A61" w:rsidP="00AE7E0F">
            <w:pPr>
              <w:spacing w:after="0" w:line="240" w:lineRule="auto"/>
              <w:jc w:val="center"/>
              <w:rPr>
                <w:rFonts w:ascii="Calibri" w:eastAsia="Times New Roman" w:hAnsi="Calibri" w:cs="Times New Roman"/>
                <w:b/>
                <w:bCs/>
                <w:color w:val="000000"/>
              </w:rPr>
            </w:pPr>
            <w:r w:rsidRPr="00C459A7">
              <w:rPr>
                <w:rFonts w:ascii="Calibri" w:eastAsia="Times New Roman" w:hAnsi="Calibri" w:cs="Times New Roman"/>
                <w:b/>
                <w:bCs/>
                <w:color w:val="000000"/>
              </w:rPr>
              <w:t>Programme Duration</w:t>
            </w:r>
          </w:p>
        </w:tc>
        <w:tc>
          <w:tcPr>
            <w:tcW w:w="1283" w:type="dxa"/>
            <w:shd w:val="clear" w:color="000000" w:fill="ACB9CA"/>
            <w:vAlign w:val="center"/>
            <w:hideMark/>
          </w:tcPr>
          <w:p w14:paraId="5B87B694" w14:textId="77777777" w:rsidR="00D75A61" w:rsidRPr="00C459A7" w:rsidRDefault="00D75A61" w:rsidP="00AE7E0F">
            <w:pPr>
              <w:spacing w:after="0" w:line="240" w:lineRule="auto"/>
              <w:jc w:val="center"/>
              <w:rPr>
                <w:rFonts w:ascii="Calibri" w:eastAsia="Times New Roman" w:hAnsi="Calibri" w:cs="Times New Roman"/>
                <w:b/>
                <w:bCs/>
                <w:color w:val="000000"/>
              </w:rPr>
            </w:pPr>
            <w:r w:rsidRPr="00C459A7">
              <w:rPr>
                <w:rFonts w:ascii="Calibri" w:eastAsia="Times New Roman" w:hAnsi="Calibri" w:cs="Times New Roman"/>
                <w:b/>
                <w:bCs/>
                <w:color w:val="000000"/>
              </w:rPr>
              <w:t>Practice Area</w:t>
            </w:r>
          </w:p>
        </w:tc>
        <w:tc>
          <w:tcPr>
            <w:tcW w:w="1646" w:type="dxa"/>
            <w:shd w:val="clear" w:color="000000" w:fill="ACB9CA"/>
            <w:vAlign w:val="center"/>
            <w:hideMark/>
          </w:tcPr>
          <w:p w14:paraId="00743AAA" w14:textId="77777777" w:rsidR="00D75A61" w:rsidRPr="00C459A7" w:rsidRDefault="00D75A61" w:rsidP="00AE7E0F">
            <w:pPr>
              <w:spacing w:after="0" w:line="240" w:lineRule="auto"/>
              <w:jc w:val="center"/>
              <w:rPr>
                <w:rFonts w:ascii="Calibri" w:eastAsia="Times New Roman" w:hAnsi="Calibri" w:cs="Times New Roman"/>
                <w:b/>
                <w:bCs/>
                <w:color w:val="000000"/>
              </w:rPr>
            </w:pPr>
            <w:r w:rsidRPr="00C459A7">
              <w:rPr>
                <w:rFonts w:ascii="Calibri" w:eastAsia="Times New Roman" w:hAnsi="Calibri" w:cs="Times New Roman"/>
                <w:b/>
                <w:bCs/>
                <w:color w:val="000000"/>
              </w:rPr>
              <w:t>Type of Evaluation</w:t>
            </w:r>
          </w:p>
        </w:tc>
        <w:tc>
          <w:tcPr>
            <w:tcW w:w="1706" w:type="dxa"/>
            <w:shd w:val="clear" w:color="000000" w:fill="ACB9CA"/>
            <w:vAlign w:val="center"/>
            <w:hideMark/>
          </w:tcPr>
          <w:p w14:paraId="05FB38A5" w14:textId="77777777" w:rsidR="00D75A61" w:rsidRPr="00C459A7" w:rsidRDefault="00D75A61" w:rsidP="00AE7E0F">
            <w:pPr>
              <w:spacing w:after="0" w:line="240" w:lineRule="auto"/>
              <w:jc w:val="center"/>
              <w:rPr>
                <w:rFonts w:ascii="Calibri" w:eastAsia="Times New Roman" w:hAnsi="Calibri" w:cs="Times New Roman"/>
                <w:b/>
                <w:bCs/>
                <w:color w:val="000000"/>
              </w:rPr>
            </w:pPr>
            <w:r w:rsidRPr="00C459A7">
              <w:rPr>
                <w:rFonts w:ascii="Calibri" w:eastAsia="Times New Roman" w:hAnsi="Calibri" w:cs="Times New Roman"/>
                <w:b/>
                <w:bCs/>
                <w:color w:val="000000"/>
              </w:rPr>
              <w:t>Start Date</w:t>
            </w:r>
          </w:p>
        </w:tc>
        <w:tc>
          <w:tcPr>
            <w:tcW w:w="1348" w:type="dxa"/>
            <w:shd w:val="clear" w:color="000000" w:fill="ACB9CA"/>
            <w:vAlign w:val="center"/>
            <w:hideMark/>
          </w:tcPr>
          <w:p w14:paraId="11B8BDDB" w14:textId="77777777" w:rsidR="00D75A61" w:rsidRPr="00C459A7" w:rsidRDefault="00D75A61" w:rsidP="00AE7E0F">
            <w:pPr>
              <w:spacing w:after="0" w:line="240" w:lineRule="auto"/>
              <w:jc w:val="center"/>
              <w:rPr>
                <w:rFonts w:ascii="Calibri" w:eastAsia="Times New Roman" w:hAnsi="Calibri" w:cs="Times New Roman"/>
                <w:b/>
                <w:bCs/>
                <w:color w:val="000000"/>
              </w:rPr>
            </w:pPr>
            <w:r w:rsidRPr="00C459A7">
              <w:rPr>
                <w:rFonts w:ascii="Calibri" w:eastAsia="Times New Roman" w:hAnsi="Calibri" w:cs="Times New Roman"/>
                <w:b/>
                <w:bCs/>
                <w:color w:val="000000"/>
              </w:rPr>
              <w:t>End Date</w:t>
            </w:r>
          </w:p>
        </w:tc>
        <w:tc>
          <w:tcPr>
            <w:tcW w:w="1124" w:type="dxa"/>
            <w:shd w:val="clear" w:color="000000" w:fill="ACB9CA"/>
            <w:vAlign w:val="center"/>
            <w:hideMark/>
          </w:tcPr>
          <w:p w14:paraId="77582419" w14:textId="77777777" w:rsidR="00D75A61" w:rsidRPr="00C459A7" w:rsidRDefault="00D75A61" w:rsidP="00AE7E0F">
            <w:pPr>
              <w:spacing w:after="0" w:line="240" w:lineRule="auto"/>
              <w:jc w:val="center"/>
              <w:rPr>
                <w:rFonts w:ascii="Calibri" w:eastAsia="Times New Roman" w:hAnsi="Calibri" w:cs="Times New Roman"/>
                <w:b/>
                <w:bCs/>
                <w:color w:val="000000"/>
              </w:rPr>
            </w:pPr>
            <w:r w:rsidRPr="00C459A7">
              <w:rPr>
                <w:rFonts w:ascii="Calibri" w:eastAsia="Times New Roman" w:hAnsi="Calibri" w:cs="Times New Roman"/>
                <w:b/>
                <w:bCs/>
                <w:color w:val="000000"/>
              </w:rPr>
              <w:t>Budget</w:t>
            </w:r>
          </w:p>
        </w:tc>
      </w:tr>
      <w:tr w:rsidR="00D97B24" w:rsidRPr="00C459A7" w14:paraId="60CFFB30" w14:textId="77777777" w:rsidTr="00053C59">
        <w:trPr>
          <w:trHeight w:val="607"/>
        </w:trPr>
        <w:tc>
          <w:tcPr>
            <w:tcW w:w="1179" w:type="dxa"/>
            <w:shd w:val="clear" w:color="000000" w:fill="FFF2CC"/>
            <w:vAlign w:val="center"/>
            <w:hideMark/>
          </w:tcPr>
          <w:p w14:paraId="0F6E4FE6"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2018</w:t>
            </w:r>
          </w:p>
        </w:tc>
        <w:tc>
          <w:tcPr>
            <w:tcW w:w="3567" w:type="dxa"/>
            <w:shd w:val="clear" w:color="000000" w:fill="FFF2CC"/>
            <w:vAlign w:val="center"/>
            <w:hideMark/>
          </w:tcPr>
          <w:p w14:paraId="15FBE05B"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Shaping Inclusive Finance Transformations (SHIFT)  SAARC</w:t>
            </w:r>
          </w:p>
        </w:tc>
        <w:tc>
          <w:tcPr>
            <w:tcW w:w="1189" w:type="dxa"/>
            <w:shd w:val="clear" w:color="000000" w:fill="FFF2CC"/>
            <w:vAlign w:val="center"/>
            <w:hideMark/>
          </w:tcPr>
          <w:p w14:paraId="7ADAC691"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SAARC</w:t>
            </w:r>
          </w:p>
        </w:tc>
        <w:tc>
          <w:tcPr>
            <w:tcW w:w="1715" w:type="dxa"/>
            <w:shd w:val="clear" w:color="000000" w:fill="FFF2CC"/>
            <w:vAlign w:val="center"/>
            <w:hideMark/>
          </w:tcPr>
          <w:p w14:paraId="36009BC4"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2016-2021</w:t>
            </w:r>
          </w:p>
        </w:tc>
        <w:tc>
          <w:tcPr>
            <w:tcW w:w="1283" w:type="dxa"/>
            <w:shd w:val="clear" w:color="000000" w:fill="FFF2CC"/>
            <w:vAlign w:val="center"/>
            <w:hideMark/>
          </w:tcPr>
          <w:p w14:paraId="5064880B"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FIPA</w:t>
            </w:r>
          </w:p>
        </w:tc>
        <w:tc>
          <w:tcPr>
            <w:tcW w:w="1646" w:type="dxa"/>
            <w:shd w:val="clear" w:color="000000" w:fill="FFF2CC"/>
            <w:vAlign w:val="center"/>
            <w:hideMark/>
          </w:tcPr>
          <w:p w14:paraId="3BC3DFAB"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Mid-Term</w:t>
            </w:r>
            <w:r w:rsidR="00053C59">
              <w:rPr>
                <w:rFonts w:ascii="Calibri" w:eastAsia="Times New Roman" w:hAnsi="Calibri" w:cs="Times New Roman"/>
                <w:color w:val="000000"/>
              </w:rPr>
              <w:t xml:space="preserve"> Programme</w:t>
            </w:r>
            <w:r w:rsidRPr="007A02D4">
              <w:rPr>
                <w:rFonts w:ascii="Calibri" w:eastAsia="Times New Roman" w:hAnsi="Calibri" w:cs="Times New Roman"/>
                <w:color w:val="000000"/>
              </w:rPr>
              <w:t xml:space="preserve"> Evaluation </w:t>
            </w:r>
          </w:p>
        </w:tc>
        <w:tc>
          <w:tcPr>
            <w:tcW w:w="1706" w:type="dxa"/>
            <w:shd w:val="clear" w:color="000000" w:fill="FFF2CC"/>
            <w:vAlign w:val="center"/>
            <w:hideMark/>
          </w:tcPr>
          <w:p w14:paraId="64687C82"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Q4 2018</w:t>
            </w:r>
          </w:p>
        </w:tc>
        <w:tc>
          <w:tcPr>
            <w:tcW w:w="1348" w:type="dxa"/>
            <w:shd w:val="clear" w:color="000000" w:fill="FFF2CC"/>
            <w:vAlign w:val="center"/>
            <w:hideMark/>
          </w:tcPr>
          <w:p w14:paraId="177D7BD1"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Q2 2019</w:t>
            </w:r>
          </w:p>
        </w:tc>
        <w:tc>
          <w:tcPr>
            <w:tcW w:w="1124" w:type="dxa"/>
            <w:shd w:val="clear" w:color="000000" w:fill="FFF2CC"/>
            <w:vAlign w:val="center"/>
            <w:hideMark/>
          </w:tcPr>
          <w:p w14:paraId="4403CCAE"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100,000</w:t>
            </w:r>
          </w:p>
        </w:tc>
      </w:tr>
      <w:tr w:rsidR="00D97B24" w:rsidRPr="00C459A7" w14:paraId="78986336" w14:textId="77777777" w:rsidTr="00053C59">
        <w:trPr>
          <w:trHeight w:val="607"/>
        </w:trPr>
        <w:tc>
          <w:tcPr>
            <w:tcW w:w="1179" w:type="dxa"/>
            <w:shd w:val="clear" w:color="000000" w:fill="FFF2CC"/>
            <w:vAlign w:val="center"/>
            <w:hideMark/>
          </w:tcPr>
          <w:p w14:paraId="25E44152"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2018</w:t>
            </w:r>
          </w:p>
        </w:tc>
        <w:tc>
          <w:tcPr>
            <w:tcW w:w="3567" w:type="dxa"/>
            <w:shd w:val="clear" w:color="000000" w:fill="FFF2CC"/>
            <w:vAlign w:val="center"/>
            <w:hideMark/>
          </w:tcPr>
          <w:p w14:paraId="40AABB4F"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IELD</w:t>
            </w:r>
          </w:p>
        </w:tc>
        <w:tc>
          <w:tcPr>
            <w:tcW w:w="1189" w:type="dxa"/>
            <w:shd w:val="clear" w:color="000000" w:fill="FFF2CC"/>
            <w:vAlign w:val="center"/>
            <w:hideMark/>
          </w:tcPr>
          <w:p w14:paraId="70E09B57"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GTI</w:t>
            </w:r>
          </w:p>
        </w:tc>
        <w:tc>
          <w:tcPr>
            <w:tcW w:w="1715" w:type="dxa"/>
            <w:shd w:val="clear" w:color="000000" w:fill="FFF2CC"/>
            <w:vAlign w:val="center"/>
            <w:hideMark/>
          </w:tcPr>
          <w:p w14:paraId="73B44A0B"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2016 - 2021</w:t>
            </w:r>
          </w:p>
        </w:tc>
        <w:tc>
          <w:tcPr>
            <w:tcW w:w="1283" w:type="dxa"/>
            <w:shd w:val="clear" w:color="000000" w:fill="FFF2CC"/>
            <w:vAlign w:val="center"/>
            <w:hideMark/>
          </w:tcPr>
          <w:p w14:paraId="6689887F"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LDFP</w:t>
            </w:r>
          </w:p>
        </w:tc>
        <w:tc>
          <w:tcPr>
            <w:tcW w:w="1646" w:type="dxa"/>
            <w:shd w:val="clear" w:color="000000" w:fill="FFF2CC"/>
            <w:vAlign w:val="center"/>
            <w:hideMark/>
          </w:tcPr>
          <w:p w14:paraId="45465DC2"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Mid-Term</w:t>
            </w:r>
            <w:r w:rsidR="00053C59">
              <w:rPr>
                <w:rFonts w:ascii="Calibri" w:eastAsia="Times New Roman" w:hAnsi="Calibri" w:cs="Times New Roman"/>
                <w:color w:val="000000"/>
              </w:rPr>
              <w:t xml:space="preserve"> Programme</w:t>
            </w:r>
            <w:r w:rsidRPr="007A02D4">
              <w:rPr>
                <w:rFonts w:ascii="Calibri" w:eastAsia="Times New Roman" w:hAnsi="Calibri" w:cs="Times New Roman"/>
                <w:color w:val="000000"/>
              </w:rPr>
              <w:t xml:space="preserve"> Evaluation </w:t>
            </w:r>
          </w:p>
        </w:tc>
        <w:tc>
          <w:tcPr>
            <w:tcW w:w="1706" w:type="dxa"/>
            <w:shd w:val="clear" w:color="000000" w:fill="FFF2CC"/>
            <w:vAlign w:val="center"/>
            <w:hideMark/>
          </w:tcPr>
          <w:p w14:paraId="3787AB5A"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Q4 2018</w:t>
            </w:r>
          </w:p>
        </w:tc>
        <w:tc>
          <w:tcPr>
            <w:tcW w:w="1348" w:type="dxa"/>
            <w:shd w:val="clear" w:color="000000" w:fill="FFF2CC"/>
            <w:vAlign w:val="center"/>
            <w:hideMark/>
          </w:tcPr>
          <w:p w14:paraId="6AC5674C"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Q2 2019</w:t>
            </w:r>
          </w:p>
        </w:tc>
        <w:tc>
          <w:tcPr>
            <w:tcW w:w="1124" w:type="dxa"/>
            <w:shd w:val="clear" w:color="000000" w:fill="FFF2CC"/>
            <w:vAlign w:val="center"/>
            <w:hideMark/>
          </w:tcPr>
          <w:p w14:paraId="3218B304"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100,000</w:t>
            </w:r>
          </w:p>
        </w:tc>
      </w:tr>
      <w:tr w:rsidR="00D97B24" w:rsidRPr="00C459A7" w14:paraId="4FBD5A4D" w14:textId="77777777" w:rsidTr="00053C59">
        <w:trPr>
          <w:trHeight w:val="607"/>
        </w:trPr>
        <w:tc>
          <w:tcPr>
            <w:tcW w:w="1179" w:type="dxa"/>
            <w:shd w:val="clear" w:color="000000" w:fill="F8CBAD"/>
            <w:noWrap/>
            <w:vAlign w:val="center"/>
            <w:hideMark/>
          </w:tcPr>
          <w:p w14:paraId="092308C1"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2019</w:t>
            </w:r>
          </w:p>
        </w:tc>
        <w:tc>
          <w:tcPr>
            <w:tcW w:w="3567" w:type="dxa"/>
            <w:shd w:val="clear" w:color="000000" w:fill="F8CBAD"/>
            <w:vAlign w:val="center"/>
            <w:hideMark/>
          </w:tcPr>
          <w:p w14:paraId="20138A97"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Uganda/Development Initiative in No</w:t>
            </w:r>
            <w:r w:rsidR="00DF6757" w:rsidRPr="007A02D4">
              <w:rPr>
                <w:rFonts w:ascii="Calibri" w:eastAsia="Times New Roman" w:hAnsi="Calibri" w:cs="Times New Roman"/>
                <w:color w:val="000000"/>
              </w:rPr>
              <w:t>r</w:t>
            </w:r>
            <w:r w:rsidRPr="007A02D4">
              <w:rPr>
                <w:rFonts w:ascii="Calibri" w:eastAsia="Times New Roman" w:hAnsi="Calibri" w:cs="Times New Roman"/>
                <w:color w:val="000000"/>
              </w:rPr>
              <w:t>thern Uganda</w:t>
            </w:r>
          </w:p>
        </w:tc>
        <w:tc>
          <w:tcPr>
            <w:tcW w:w="1189" w:type="dxa"/>
            <w:shd w:val="clear" w:color="000000" w:fill="F8CBAD"/>
            <w:noWrap/>
            <w:vAlign w:val="center"/>
            <w:hideMark/>
          </w:tcPr>
          <w:p w14:paraId="28B8785B"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 xml:space="preserve">Uganda </w:t>
            </w:r>
          </w:p>
        </w:tc>
        <w:tc>
          <w:tcPr>
            <w:tcW w:w="1715" w:type="dxa"/>
            <w:shd w:val="clear" w:color="000000" w:fill="F8CBAD"/>
            <w:noWrap/>
            <w:vAlign w:val="center"/>
            <w:hideMark/>
          </w:tcPr>
          <w:p w14:paraId="47EE090F"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2017-2022</w:t>
            </w:r>
          </w:p>
        </w:tc>
        <w:tc>
          <w:tcPr>
            <w:tcW w:w="1283" w:type="dxa"/>
            <w:shd w:val="clear" w:color="000000" w:fill="F8CBAD"/>
            <w:noWrap/>
            <w:vAlign w:val="center"/>
            <w:hideMark/>
          </w:tcPr>
          <w:p w14:paraId="11DE61AA"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LDFP</w:t>
            </w:r>
          </w:p>
        </w:tc>
        <w:tc>
          <w:tcPr>
            <w:tcW w:w="1646" w:type="dxa"/>
            <w:shd w:val="clear" w:color="000000" w:fill="F8CBAD"/>
            <w:vAlign w:val="center"/>
            <w:hideMark/>
          </w:tcPr>
          <w:p w14:paraId="1B5568BD"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 xml:space="preserve">Mid-Term </w:t>
            </w:r>
            <w:r w:rsidR="00053C59">
              <w:rPr>
                <w:rFonts w:ascii="Calibri" w:eastAsia="Times New Roman" w:hAnsi="Calibri" w:cs="Times New Roman"/>
                <w:color w:val="000000"/>
              </w:rPr>
              <w:t xml:space="preserve">Project </w:t>
            </w:r>
            <w:r w:rsidRPr="007A02D4">
              <w:rPr>
                <w:rFonts w:ascii="Calibri" w:eastAsia="Times New Roman" w:hAnsi="Calibri" w:cs="Times New Roman"/>
                <w:color w:val="000000"/>
              </w:rPr>
              <w:t xml:space="preserve">Evaluation </w:t>
            </w:r>
          </w:p>
        </w:tc>
        <w:tc>
          <w:tcPr>
            <w:tcW w:w="1706" w:type="dxa"/>
            <w:shd w:val="clear" w:color="000000" w:fill="F8CBAD"/>
            <w:noWrap/>
            <w:vAlign w:val="center"/>
            <w:hideMark/>
          </w:tcPr>
          <w:p w14:paraId="369FD40E"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Q3 2019</w:t>
            </w:r>
          </w:p>
        </w:tc>
        <w:tc>
          <w:tcPr>
            <w:tcW w:w="1348" w:type="dxa"/>
            <w:shd w:val="clear" w:color="000000" w:fill="F8CBAD"/>
            <w:noWrap/>
            <w:vAlign w:val="center"/>
            <w:hideMark/>
          </w:tcPr>
          <w:p w14:paraId="2C96FC2C"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Q1 2020</w:t>
            </w:r>
          </w:p>
        </w:tc>
        <w:tc>
          <w:tcPr>
            <w:tcW w:w="1124" w:type="dxa"/>
            <w:shd w:val="clear" w:color="000000" w:fill="F8CBAD"/>
            <w:noWrap/>
            <w:vAlign w:val="center"/>
            <w:hideMark/>
          </w:tcPr>
          <w:p w14:paraId="3754EAB8"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70,000</w:t>
            </w:r>
          </w:p>
        </w:tc>
      </w:tr>
      <w:tr w:rsidR="00D97B24" w:rsidRPr="00C459A7" w14:paraId="1903CA8E" w14:textId="77777777" w:rsidTr="00053C59">
        <w:trPr>
          <w:trHeight w:val="607"/>
        </w:trPr>
        <w:tc>
          <w:tcPr>
            <w:tcW w:w="1179" w:type="dxa"/>
            <w:shd w:val="clear" w:color="000000" w:fill="F8CBAD"/>
            <w:vAlign w:val="center"/>
            <w:hideMark/>
          </w:tcPr>
          <w:p w14:paraId="2E3E246D"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2019</w:t>
            </w:r>
          </w:p>
        </w:tc>
        <w:tc>
          <w:tcPr>
            <w:tcW w:w="3567" w:type="dxa"/>
            <w:shd w:val="clear" w:color="000000" w:fill="F8CBAD"/>
            <w:vAlign w:val="center"/>
            <w:hideMark/>
          </w:tcPr>
          <w:p w14:paraId="21082505" w14:textId="77777777" w:rsidR="00D75A61" w:rsidRPr="007A02D4" w:rsidRDefault="00D75A61" w:rsidP="00AE7E0F">
            <w:pPr>
              <w:spacing w:after="0" w:line="240" w:lineRule="auto"/>
              <w:jc w:val="center"/>
              <w:rPr>
                <w:rFonts w:ascii="Calibri" w:eastAsia="Times New Roman" w:hAnsi="Calibri" w:cs="Times New Roman"/>
                <w:color w:val="000000"/>
                <w:lang w:val="fr-FR"/>
              </w:rPr>
            </w:pPr>
            <w:r w:rsidRPr="007A02D4">
              <w:rPr>
                <w:rFonts w:ascii="Calibri" w:eastAsia="Times New Roman" w:hAnsi="Calibri" w:cs="Times New Roman"/>
                <w:color w:val="000000"/>
                <w:lang w:val="fr-FR"/>
              </w:rPr>
              <w:t xml:space="preserve"> Programme de renforcement des capacités institutionnelles des collectivités (PRCIC)</w:t>
            </w:r>
          </w:p>
        </w:tc>
        <w:tc>
          <w:tcPr>
            <w:tcW w:w="1189" w:type="dxa"/>
            <w:shd w:val="clear" w:color="000000" w:fill="F8CBAD"/>
            <w:vAlign w:val="center"/>
            <w:hideMark/>
          </w:tcPr>
          <w:p w14:paraId="5080E5DD"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Burundi</w:t>
            </w:r>
          </w:p>
        </w:tc>
        <w:tc>
          <w:tcPr>
            <w:tcW w:w="1715" w:type="dxa"/>
            <w:shd w:val="clear" w:color="000000" w:fill="F8CBAD"/>
            <w:vAlign w:val="center"/>
            <w:hideMark/>
          </w:tcPr>
          <w:p w14:paraId="7BFF4033"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2013-2018</w:t>
            </w:r>
          </w:p>
        </w:tc>
        <w:tc>
          <w:tcPr>
            <w:tcW w:w="1283" w:type="dxa"/>
            <w:shd w:val="clear" w:color="000000" w:fill="F8CBAD"/>
            <w:vAlign w:val="center"/>
            <w:hideMark/>
          </w:tcPr>
          <w:p w14:paraId="0A4EDA78"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LDFP</w:t>
            </w:r>
          </w:p>
        </w:tc>
        <w:tc>
          <w:tcPr>
            <w:tcW w:w="1646" w:type="dxa"/>
            <w:shd w:val="clear" w:color="000000" w:fill="F8CBAD"/>
            <w:vAlign w:val="center"/>
            <w:hideMark/>
          </w:tcPr>
          <w:p w14:paraId="0E1FDD7A"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 xml:space="preserve">Final </w:t>
            </w:r>
            <w:r w:rsidR="00053C59">
              <w:rPr>
                <w:rFonts w:ascii="Calibri" w:eastAsia="Times New Roman" w:hAnsi="Calibri" w:cs="Times New Roman"/>
                <w:color w:val="000000"/>
              </w:rPr>
              <w:t xml:space="preserve">Project </w:t>
            </w:r>
            <w:r w:rsidRPr="007A02D4">
              <w:rPr>
                <w:rFonts w:ascii="Calibri" w:eastAsia="Times New Roman" w:hAnsi="Calibri" w:cs="Times New Roman"/>
                <w:color w:val="000000"/>
              </w:rPr>
              <w:t xml:space="preserve">Evaluation </w:t>
            </w:r>
          </w:p>
        </w:tc>
        <w:tc>
          <w:tcPr>
            <w:tcW w:w="1706" w:type="dxa"/>
            <w:shd w:val="clear" w:color="000000" w:fill="F8CBAD"/>
            <w:vAlign w:val="center"/>
            <w:hideMark/>
          </w:tcPr>
          <w:p w14:paraId="7780476A"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Q4 2019</w:t>
            </w:r>
          </w:p>
        </w:tc>
        <w:tc>
          <w:tcPr>
            <w:tcW w:w="1348" w:type="dxa"/>
            <w:shd w:val="clear" w:color="000000" w:fill="F8CBAD"/>
            <w:vAlign w:val="center"/>
            <w:hideMark/>
          </w:tcPr>
          <w:p w14:paraId="0F40B342"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Q2 2020</w:t>
            </w:r>
          </w:p>
        </w:tc>
        <w:tc>
          <w:tcPr>
            <w:tcW w:w="1124" w:type="dxa"/>
            <w:shd w:val="clear" w:color="000000" w:fill="F8CBAD"/>
            <w:vAlign w:val="center"/>
            <w:hideMark/>
          </w:tcPr>
          <w:p w14:paraId="4029A74B"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80,000</w:t>
            </w:r>
          </w:p>
        </w:tc>
      </w:tr>
      <w:tr w:rsidR="00D97B24" w:rsidRPr="00C459A7" w14:paraId="7523118D" w14:textId="77777777" w:rsidTr="00053C59">
        <w:trPr>
          <w:trHeight w:val="607"/>
        </w:trPr>
        <w:tc>
          <w:tcPr>
            <w:tcW w:w="1179" w:type="dxa"/>
            <w:shd w:val="clear" w:color="000000" w:fill="F8CBAD"/>
            <w:vAlign w:val="center"/>
            <w:hideMark/>
          </w:tcPr>
          <w:p w14:paraId="417E690D"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2019</w:t>
            </w:r>
          </w:p>
        </w:tc>
        <w:tc>
          <w:tcPr>
            <w:tcW w:w="3567" w:type="dxa"/>
            <w:shd w:val="clear" w:color="000000" w:fill="F8CBAD"/>
            <w:vAlign w:val="center"/>
            <w:hideMark/>
          </w:tcPr>
          <w:p w14:paraId="2990EBCB"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Pacific Financial Inclusion Programme (PFIP) </w:t>
            </w:r>
          </w:p>
        </w:tc>
        <w:tc>
          <w:tcPr>
            <w:tcW w:w="1189" w:type="dxa"/>
            <w:shd w:val="clear" w:color="000000" w:fill="F8CBAD"/>
            <w:vAlign w:val="center"/>
            <w:hideMark/>
          </w:tcPr>
          <w:p w14:paraId="37B29CF1"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GTI </w:t>
            </w:r>
          </w:p>
        </w:tc>
        <w:tc>
          <w:tcPr>
            <w:tcW w:w="1715" w:type="dxa"/>
            <w:shd w:val="clear" w:color="000000" w:fill="F8CBAD"/>
            <w:vAlign w:val="center"/>
            <w:hideMark/>
          </w:tcPr>
          <w:p w14:paraId="5A3BAD5B"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2014 - 2018 (likely extension - 2020)</w:t>
            </w:r>
          </w:p>
        </w:tc>
        <w:tc>
          <w:tcPr>
            <w:tcW w:w="1283" w:type="dxa"/>
            <w:shd w:val="clear" w:color="000000" w:fill="F8CBAD"/>
            <w:vAlign w:val="center"/>
            <w:hideMark/>
          </w:tcPr>
          <w:p w14:paraId="3E7653CD"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FIPA</w:t>
            </w:r>
          </w:p>
        </w:tc>
        <w:tc>
          <w:tcPr>
            <w:tcW w:w="1646" w:type="dxa"/>
            <w:shd w:val="clear" w:color="000000" w:fill="F8CBAD"/>
            <w:vAlign w:val="center"/>
            <w:hideMark/>
          </w:tcPr>
          <w:p w14:paraId="5C79ADD9"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Final </w:t>
            </w:r>
            <w:r w:rsidR="00053C59">
              <w:rPr>
                <w:rFonts w:ascii="Calibri" w:eastAsia="Times New Roman" w:hAnsi="Calibri" w:cs="Times New Roman"/>
                <w:iCs/>
                <w:color w:val="000000"/>
              </w:rPr>
              <w:t xml:space="preserve">Programme </w:t>
            </w:r>
            <w:r w:rsidRPr="007A02D4">
              <w:rPr>
                <w:rFonts w:ascii="Calibri" w:eastAsia="Times New Roman" w:hAnsi="Calibri" w:cs="Times New Roman"/>
                <w:iCs/>
                <w:color w:val="000000"/>
              </w:rPr>
              <w:t xml:space="preserve">Evaluation </w:t>
            </w:r>
          </w:p>
        </w:tc>
        <w:tc>
          <w:tcPr>
            <w:tcW w:w="1706" w:type="dxa"/>
            <w:shd w:val="clear" w:color="000000" w:fill="F8CBAD"/>
            <w:vAlign w:val="center"/>
            <w:hideMark/>
          </w:tcPr>
          <w:p w14:paraId="430F3785"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Q4 2019</w:t>
            </w:r>
          </w:p>
        </w:tc>
        <w:tc>
          <w:tcPr>
            <w:tcW w:w="1348" w:type="dxa"/>
            <w:shd w:val="clear" w:color="000000" w:fill="F8CBAD"/>
            <w:vAlign w:val="center"/>
            <w:hideMark/>
          </w:tcPr>
          <w:p w14:paraId="39D1D36A"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Q2 2020</w:t>
            </w:r>
          </w:p>
        </w:tc>
        <w:tc>
          <w:tcPr>
            <w:tcW w:w="1124" w:type="dxa"/>
            <w:shd w:val="clear" w:color="000000" w:fill="F8CBAD"/>
            <w:vAlign w:val="center"/>
            <w:hideMark/>
          </w:tcPr>
          <w:p w14:paraId="41A86B24"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100,000</w:t>
            </w:r>
          </w:p>
        </w:tc>
      </w:tr>
      <w:tr w:rsidR="00D97B24" w:rsidRPr="00C459A7" w14:paraId="55897936" w14:textId="77777777" w:rsidTr="00053C59">
        <w:trPr>
          <w:trHeight w:val="607"/>
        </w:trPr>
        <w:tc>
          <w:tcPr>
            <w:tcW w:w="1179" w:type="dxa"/>
            <w:shd w:val="clear" w:color="000000" w:fill="C6E0B4"/>
            <w:noWrap/>
            <w:vAlign w:val="center"/>
            <w:hideMark/>
          </w:tcPr>
          <w:p w14:paraId="5D654761"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2020</w:t>
            </w:r>
          </w:p>
        </w:tc>
        <w:tc>
          <w:tcPr>
            <w:tcW w:w="3567" w:type="dxa"/>
            <w:shd w:val="clear" w:color="000000" w:fill="C6E0B4"/>
            <w:noWrap/>
            <w:vAlign w:val="center"/>
            <w:hideMark/>
          </w:tcPr>
          <w:p w14:paraId="11704981"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LoTUS</w:t>
            </w:r>
          </w:p>
        </w:tc>
        <w:tc>
          <w:tcPr>
            <w:tcW w:w="1189" w:type="dxa"/>
            <w:shd w:val="clear" w:color="000000" w:fill="C6E0B4"/>
            <w:noWrap/>
            <w:vAlign w:val="center"/>
            <w:hideMark/>
          </w:tcPr>
          <w:p w14:paraId="1BC0979B"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GTI</w:t>
            </w:r>
          </w:p>
        </w:tc>
        <w:tc>
          <w:tcPr>
            <w:tcW w:w="1715" w:type="dxa"/>
            <w:shd w:val="clear" w:color="000000" w:fill="C6E0B4"/>
            <w:noWrap/>
            <w:vAlign w:val="center"/>
            <w:hideMark/>
          </w:tcPr>
          <w:p w14:paraId="4684E28F"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2018-2022</w:t>
            </w:r>
          </w:p>
        </w:tc>
        <w:tc>
          <w:tcPr>
            <w:tcW w:w="1283" w:type="dxa"/>
            <w:shd w:val="clear" w:color="000000" w:fill="C6E0B4"/>
            <w:noWrap/>
            <w:vAlign w:val="center"/>
            <w:hideMark/>
          </w:tcPr>
          <w:p w14:paraId="72F46C33"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LDFP</w:t>
            </w:r>
          </w:p>
        </w:tc>
        <w:tc>
          <w:tcPr>
            <w:tcW w:w="1646" w:type="dxa"/>
            <w:shd w:val="clear" w:color="000000" w:fill="C6E0B4"/>
            <w:vAlign w:val="center"/>
            <w:hideMark/>
          </w:tcPr>
          <w:p w14:paraId="25E7E215"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 xml:space="preserve">Mid-Term </w:t>
            </w:r>
            <w:r w:rsidR="00037ED9">
              <w:rPr>
                <w:rFonts w:ascii="Calibri" w:eastAsia="Times New Roman" w:hAnsi="Calibri" w:cs="Times New Roman"/>
                <w:color w:val="000000"/>
              </w:rPr>
              <w:t xml:space="preserve">Programme </w:t>
            </w:r>
            <w:r w:rsidRPr="007A02D4">
              <w:rPr>
                <w:rFonts w:ascii="Calibri" w:eastAsia="Times New Roman" w:hAnsi="Calibri" w:cs="Times New Roman"/>
                <w:color w:val="000000"/>
              </w:rPr>
              <w:t xml:space="preserve">Evaluation </w:t>
            </w:r>
          </w:p>
        </w:tc>
        <w:tc>
          <w:tcPr>
            <w:tcW w:w="1706" w:type="dxa"/>
            <w:shd w:val="clear" w:color="000000" w:fill="C6E0B4"/>
            <w:noWrap/>
            <w:vAlign w:val="center"/>
            <w:hideMark/>
          </w:tcPr>
          <w:p w14:paraId="4BD8F55A"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Q1 2020</w:t>
            </w:r>
          </w:p>
        </w:tc>
        <w:tc>
          <w:tcPr>
            <w:tcW w:w="1348" w:type="dxa"/>
            <w:shd w:val="clear" w:color="000000" w:fill="C6E0B4"/>
            <w:noWrap/>
            <w:vAlign w:val="center"/>
            <w:hideMark/>
          </w:tcPr>
          <w:p w14:paraId="5D496099"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Q3 2020</w:t>
            </w:r>
          </w:p>
        </w:tc>
        <w:tc>
          <w:tcPr>
            <w:tcW w:w="1124" w:type="dxa"/>
            <w:shd w:val="clear" w:color="000000" w:fill="C6E0B4"/>
            <w:noWrap/>
            <w:vAlign w:val="center"/>
            <w:hideMark/>
          </w:tcPr>
          <w:p w14:paraId="630BC4CB"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TBC</w:t>
            </w:r>
          </w:p>
        </w:tc>
      </w:tr>
      <w:tr w:rsidR="00D97B24" w:rsidRPr="00C459A7" w14:paraId="12938E7D" w14:textId="77777777" w:rsidTr="00053C59">
        <w:trPr>
          <w:trHeight w:val="607"/>
        </w:trPr>
        <w:tc>
          <w:tcPr>
            <w:tcW w:w="1179" w:type="dxa"/>
            <w:shd w:val="clear" w:color="000000" w:fill="C6E0B4"/>
            <w:noWrap/>
            <w:vAlign w:val="center"/>
            <w:hideMark/>
          </w:tcPr>
          <w:p w14:paraId="15FBE1D0"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2020</w:t>
            </w:r>
          </w:p>
        </w:tc>
        <w:tc>
          <w:tcPr>
            <w:tcW w:w="3567" w:type="dxa"/>
            <w:shd w:val="clear" w:color="000000" w:fill="C6E0B4"/>
            <w:noWrap/>
            <w:vAlign w:val="center"/>
            <w:hideMark/>
          </w:tcPr>
          <w:p w14:paraId="7B12B031"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Municipal Finance Programme</w:t>
            </w:r>
          </w:p>
        </w:tc>
        <w:tc>
          <w:tcPr>
            <w:tcW w:w="1189" w:type="dxa"/>
            <w:shd w:val="clear" w:color="000000" w:fill="C6E0B4"/>
            <w:noWrap/>
            <w:vAlign w:val="center"/>
            <w:hideMark/>
          </w:tcPr>
          <w:p w14:paraId="16FE3A85"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GTI</w:t>
            </w:r>
          </w:p>
        </w:tc>
        <w:tc>
          <w:tcPr>
            <w:tcW w:w="1715" w:type="dxa"/>
            <w:shd w:val="clear" w:color="000000" w:fill="C6E0B4"/>
            <w:noWrap/>
            <w:vAlign w:val="center"/>
            <w:hideMark/>
          </w:tcPr>
          <w:p w14:paraId="3217B764"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2015 - 2020</w:t>
            </w:r>
          </w:p>
        </w:tc>
        <w:tc>
          <w:tcPr>
            <w:tcW w:w="1283" w:type="dxa"/>
            <w:shd w:val="clear" w:color="000000" w:fill="C6E0B4"/>
            <w:noWrap/>
            <w:vAlign w:val="center"/>
            <w:hideMark/>
          </w:tcPr>
          <w:p w14:paraId="52E33E36"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LDFP</w:t>
            </w:r>
          </w:p>
        </w:tc>
        <w:tc>
          <w:tcPr>
            <w:tcW w:w="1646" w:type="dxa"/>
            <w:shd w:val="clear" w:color="000000" w:fill="C6E0B4"/>
            <w:vAlign w:val="center"/>
            <w:hideMark/>
          </w:tcPr>
          <w:p w14:paraId="72D67102"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Mid-Term</w:t>
            </w:r>
            <w:r w:rsidR="00037ED9">
              <w:rPr>
                <w:rFonts w:ascii="Calibri" w:eastAsia="Times New Roman" w:hAnsi="Calibri" w:cs="Times New Roman"/>
                <w:color w:val="000000"/>
              </w:rPr>
              <w:t xml:space="preserve"> Programme</w:t>
            </w:r>
            <w:r w:rsidRPr="007A02D4">
              <w:rPr>
                <w:rFonts w:ascii="Calibri" w:eastAsia="Times New Roman" w:hAnsi="Calibri" w:cs="Times New Roman"/>
                <w:color w:val="000000"/>
              </w:rPr>
              <w:t xml:space="preserve"> Evaluation </w:t>
            </w:r>
          </w:p>
        </w:tc>
        <w:tc>
          <w:tcPr>
            <w:tcW w:w="1706" w:type="dxa"/>
            <w:shd w:val="clear" w:color="000000" w:fill="C6E0B4"/>
            <w:noWrap/>
            <w:vAlign w:val="center"/>
            <w:hideMark/>
          </w:tcPr>
          <w:p w14:paraId="27BA604D"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Q2 2020</w:t>
            </w:r>
          </w:p>
        </w:tc>
        <w:tc>
          <w:tcPr>
            <w:tcW w:w="1348" w:type="dxa"/>
            <w:shd w:val="clear" w:color="000000" w:fill="C6E0B4"/>
            <w:noWrap/>
            <w:vAlign w:val="center"/>
            <w:hideMark/>
          </w:tcPr>
          <w:p w14:paraId="340D2624"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Q4 2020</w:t>
            </w:r>
          </w:p>
        </w:tc>
        <w:tc>
          <w:tcPr>
            <w:tcW w:w="1124" w:type="dxa"/>
            <w:shd w:val="clear" w:color="000000" w:fill="C6E0B4"/>
            <w:noWrap/>
            <w:vAlign w:val="center"/>
            <w:hideMark/>
          </w:tcPr>
          <w:p w14:paraId="777D0772"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TBC</w:t>
            </w:r>
          </w:p>
        </w:tc>
      </w:tr>
      <w:tr w:rsidR="00D97B24" w:rsidRPr="00C459A7" w14:paraId="01C7CEA2" w14:textId="77777777" w:rsidTr="00053C59">
        <w:trPr>
          <w:trHeight w:val="303"/>
        </w:trPr>
        <w:tc>
          <w:tcPr>
            <w:tcW w:w="1179" w:type="dxa"/>
            <w:shd w:val="clear" w:color="000000" w:fill="C6E0B4"/>
            <w:noWrap/>
            <w:vAlign w:val="center"/>
            <w:hideMark/>
          </w:tcPr>
          <w:p w14:paraId="41CDFE71"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2020</w:t>
            </w:r>
          </w:p>
        </w:tc>
        <w:tc>
          <w:tcPr>
            <w:tcW w:w="3567" w:type="dxa"/>
            <w:shd w:val="clear" w:color="000000" w:fill="C6E0B4"/>
            <w:noWrap/>
            <w:vAlign w:val="center"/>
            <w:hideMark/>
          </w:tcPr>
          <w:p w14:paraId="16A71543"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 xml:space="preserve">CleanStart </w:t>
            </w:r>
          </w:p>
        </w:tc>
        <w:tc>
          <w:tcPr>
            <w:tcW w:w="1189" w:type="dxa"/>
            <w:shd w:val="clear" w:color="000000" w:fill="C6E0B4"/>
            <w:noWrap/>
            <w:vAlign w:val="center"/>
            <w:hideMark/>
          </w:tcPr>
          <w:p w14:paraId="22E76782"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GTI</w:t>
            </w:r>
          </w:p>
        </w:tc>
        <w:tc>
          <w:tcPr>
            <w:tcW w:w="1715" w:type="dxa"/>
            <w:shd w:val="clear" w:color="000000" w:fill="C6E0B4"/>
            <w:noWrap/>
            <w:vAlign w:val="center"/>
            <w:hideMark/>
          </w:tcPr>
          <w:p w14:paraId="227ABA99"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2012-2020</w:t>
            </w:r>
          </w:p>
        </w:tc>
        <w:tc>
          <w:tcPr>
            <w:tcW w:w="1283" w:type="dxa"/>
            <w:shd w:val="clear" w:color="000000" w:fill="C6E0B4"/>
            <w:noWrap/>
            <w:vAlign w:val="center"/>
            <w:hideMark/>
          </w:tcPr>
          <w:p w14:paraId="5955474A"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FIPA</w:t>
            </w:r>
          </w:p>
        </w:tc>
        <w:tc>
          <w:tcPr>
            <w:tcW w:w="1646" w:type="dxa"/>
            <w:shd w:val="clear" w:color="000000" w:fill="C6E0B4"/>
            <w:vAlign w:val="center"/>
            <w:hideMark/>
          </w:tcPr>
          <w:p w14:paraId="379CB534"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 xml:space="preserve">Final </w:t>
            </w:r>
            <w:r w:rsidR="00037ED9">
              <w:rPr>
                <w:rFonts w:ascii="Calibri" w:eastAsia="Times New Roman" w:hAnsi="Calibri" w:cs="Times New Roman"/>
                <w:color w:val="000000"/>
              </w:rPr>
              <w:t xml:space="preserve">Programme </w:t>
            </w:r>
            <w:r w:rsidRPr="007A02D4">
              <w:rPr>
                <w:rFonts w:ascii="Calibri" w:eastAsia="Times New Roman" w:hAnsi="Calibri" w:cs="Times New Roman"/>
                <w:color w:val="000000"/>
              </w:rPr>
              <w:t xml:space="preserve">Evaluation </w:t>
            </w:r>
          </w:p>
        </w:tc>
        <w:tc>
          <w:tcPr>
            <w:tcW w:w="1706" w:type="dxa"/>
            <w:shd w:val="clear" w:color="000000" w:fill="C6E0B4"/>
            <w:noWrap/>
            <w:vAlign w:val="center"/>
            <w:hideMark/>
          </w:tcPr>
          <w:p w14:paraId="11E06522"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Q2 2020</w:t>
            </w:r>
          </w:p>
        </w:tc>
        <w:tc>
          <w:tcPr>
            <w:tcW w:w="1348" w:type="dxa"/>
            <w:shd w:val="clear" w:color="000000" w:fill="C6E0B4"/>
            <w:noWrap/>
            <w:vAlign w:val="center"/>
            <w:hideMark/>
          </w:tcPr>
          <w:p w14:paraId="689489A3"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Q4 2020</w:t>
            </w:r>
          </w:p>
        </w:tc>
        <w:tc>
          <w:tcPr>
            <w:tcW w:w="1124" w:type="dxa"/>
            <w:shd w:val="clear" w:color="000000" w:fill="C6E0B4"/>
            <w:noWrap/>
            <w:vAlign w:val="center"/>
            <w:hideMark/>
          </w:tcPr>
          <w:p w14:paraId="25712C93"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TBC</w:t>
            </w:r>
          </w:p>
        </w:tc>
      </w:tr>
      <w:tr w:rsidR="00D97B24" w:rsidRPr="00C459A7" w14:paraId="0D33BFBC" w14:textId="77777777" w:rsidTr="00053C59">
        <w:trPr>
          <w:trHeight w:val="303"/>
        </w:trPr>
        <w:tc>
          <w:tcPr>
            <w:tcW w:w="1179" w:type="dxa"/>
            <w:shd w:val="clear" w:color="000000" w:fill="C6E0B4"/>
            <w:noWrap/>
            <w:vAlign w:val="center"/>
            <w:hideMark/>
          </w:tcPr>
          <w:p w14:paraId="694EDE69"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2020</w:t>
            </w:r>
          </w:p>
        </w:tc>
        <w:tc>
          <w:tcPr>
            <w:tcW w:w="3567" w:type="dxa"/>
            <w:shd w:val="clear" w:color="000000" w:fill="C6E0B4"/>
            <w:noWrap/>
            <w:vAlign w:val="center"/>
            <w:hideMark/>
          </w:tcPr>
          <w:p w14:paraId="11B75FE1"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 xml:space="preserve">BTCA </w:t>
            </w:r>
          </w:p>
        </w:tc>
        <w:tc>
          <w:tcPr>
            <w:tcW w:w="1189" w:type="dxa"/>
            <w:shd w:val="clear" w:color="000000" w:fill="C6E0B4"/>
            <w:noWrap/>
            <w:vAlign w:val="center"/>
            <w:hideMark/>
          </w:tcPr>
          <w:p w14:paraId="42E5FD46"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 xml:space="preserve">GTI </w:t>
            </w:r>
          </w:p>
        </w:tc>
        <w:tc>
          <w:tcPr>
            <w:tcW w:w="1715" w:type="dxa"/>
            <w:shd w:val="clear" w:color="000000" w:fill="C6E0B4"/>
            <w:noWrap/>
            <w:vAlign w:val="center"/>
            <w:hideMark/>
          </w:tcPr>
          <w:p w14:paraId="0C324BA9"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2014 - 2020</w:t>
            </w:r>
          </w:p>
        </w:tc>
        <w:tc>
          <w:tcPr>
            <w:tcW w:w="1283" w:type="dxa"/>
            <w:shd w:val="clear" w:color="000000" w:fill="C6E0B4"/>
            <w:noWrap/>
            <w:vAlign w:val="center"/>
            <w:hideMark/>
          </w:tcPr>
          <w:p w14:paraId="008D5516"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FIPA</w:t>
            </w:r>
          </w:p>
        </w:tc>
        <w:tc>
          <w:tcPr>
            <w:tcW w:w="1646" w:type="dxa"/>
            <w:shd w:val="clear" w:color="000000" w:fill="C6E0B4"/>
            <w:vAlign w:val="center"/>
            <w:hideMark/>
          </w:tcPr>
          <w:p w14:paraId="4905D36E"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 xml:space="preserve">Final </w:t>
            </w:r>
            <w:r w:rsidR="00037ED9">
              <w:rPr>
                <w:rFonts w:ascii="Calibri" w:eastAsia="Times New Roman" w:hAnsi="Calibri" w:cs="Times New Roman"/>
                <w:color w:val="000000"/>
              </w:rPr>
              <w:t xml:space="preserve">Programme </w:t>
            </w:r>
            <w:r w:rsidRPr="007A02D4">
              <w:rPr>
                <w:rFonts w:ascii="Calibri" w:eastAsia="Times New Roman" w:hAnsi="Calibri" w:cs="Times New Roman"/>
                <w:color w:val="000000"/>
              </w:rPr>
              <w:t xml:space="preserve">Evaluation </w:t>
            </w:r>
          </w:p>
        </w:tc>
        <w:tc>
          <w:tcPr>
            <w:tcW w:w="1706" w:type="dxa"/>
            <w:shd w:val="clear" w:color="000000" w:fill="C6E0B4"/>
            <w:noWrap/>
            <w:vAlign w:val="center"/>
            <w:hideMark/>
          </w:tcPr>
          <w:p w14:paraId="7F8D03C4"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Q1 2020</w:t>
            </w:r>
          </w:p>
        </w:tc>
        <w:tc>
          <w:tcPr>
            <w:tcW w:w="1348" w:type="dxa"/>
            <w:shd w:val="clear" w:color="000000" w:fill="C6E0B4"/>
            <w:noWrap/>
            <w:vAlign w:val="center"/>
            <w:hideMark/>
          </w:tcPr>
          <w:p w14:paraId="5FD67594"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Q3 2020</w:t>
            </w:r>
          </w:p>
        </w:tc>
        <w:tc>
          <w:tcPr>
            <w:tcW w:w="1124" w:type="dxa"/>
            <w:shd w:val="clear" w:color="000000" w:fill="C6E0B4"/>
            <w:noWrap/>
            <w:vAlign w:val="center"/>
            <w:hideMark/>
          </w:tcPr>
          <w:p w14:paraId="4169A6E0" w14:textId="77777777" w:rsidR="00D75A61" w:rsidRPr="007A02D4" w:rsidRDefault="00D75A61" w:rsidP="00AE7E0F">
            <w:pPr>
              <w:spacing w:after="0" w:line="240" w:lineRule="auto"/>
              <w:jc w:val="center"/>
              <w:rPr>
                <w:rFonts w:ascii="Calibri" w:eastAsia="Times New Roman" w:hAnsi="Calibri" w:cs="Times New Roman"/>
                <w:color w:val="000000"/>
              </w:rPr>
            </w:pPr>
            <w:r w:rsidRPr="007A02D4">
              <w:rPr>
                <w:rFonts w:ascii="Calibri" w:eastAsia="Times New Roman" w:hAnsi="Calibri" w:cs="Times New Roman"/>
                <w:color w:val="000000"/>
              </w:rPr>
              <w:t>TBC</w:t>
            </w:r>
          </w:p>
        </w:tc>
      </w:tr>
      <w:tr w:rsidR="006976E3" w:rsidRPr="00C459A7" w14:paraId="7BC4B6ED" w14:textId="77777777" w:rsidTr="00053C59">
        <w:trPr>
          <w:trHeight w:val="303"/>
        </w:trPr>
        <w:tc>
          <w:tcPr>
            <w:tcW w:w="1179" w:type="dxa"/>
            <w:shd w:val="clear" w:color="000000" w:fill="C6E0B4"/>
            <w:noWrap/>
            <w:vAlign w:val="center"/>
          </w:tcPr>
          <w:p w14:paraId="154F5967" w14:textId="77777777" w:rsidR="006976E3" w:rsidRPr="007A02D4" w:rsidRDefault="006976E3"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lastRenderedPageBreak/>
              <w:t>2020</w:t>
            </w:r>
          </w:p>
        </w:tc>
        <w:tc>
          <w:tcPr>
            <w:tcW w:w="3567" w:type="dxa"/>
            <w:shd w:val="clear" w:color="000000" w:fill="C6E0B4"/>
            <w:noWrap/>
            <w:vAlign w:val="center"/>
          </w:tcPr>
          <w:p w14:paraId="2025908C" w14:textId="77777777" w:rsidR="006976E3" w:rsidRPr="007A02D4" w:rsidRDefault="00F50BF5" w:rsidP="005E296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UNCDF’s performance in supporting </w:t>
            </w:r>
            <w:r w:rsidR="005E2967">
              <w:rPr>
                <w:rFonts w:ascii="Calibri" w:eastAsia="Times New Roman" w:hAnsi="Calibri" w:cs="Times New Roman"/>
                <w:color w:val="000000"/>
              </w:rPr>
              <w:t xml:space="preserve">its interventions </w:t>
            </w:r>
            <w:r>
              <w:rPr>
                <w:rFonts w:ascii="Calibri" w:eastAsia="Times New Roman" w:hAnsi="Calibri" w:cs="Times New Roman"/>
                <w:color w:val="000000"/>
              </w:rPr>
              <w:t>move from innovat</w:t>
            </w:r>
            <w:r w:rsidR="00085B97">
              <w:rPr>
                <w:rFonts w:ascii="Calibri" w:eastAsia="Times New Roman" w:hAnsi="Calibri" w:cs="Times New Roman"/>
                <w:color w:val="000000"/>
              </w:rPr>
              <w:t xml:space="preserve">ion to scale and the effects of </w:t>
            </w:r>
            <w:r w:rsidR="005E2967">
              <w:rPr>
                <w:rFonts w:ascii="Calibri" w:eastAsia="Times New Roman" w:hAnsi="Calibri" w:cs="Times New Roman"/>
                <w:color w:val="000000"/>
              </w:rPr>
              <w:t xml:space="preserve">this </w:t>
            </w:r>
            <w:r w:rsidR="00085B97">
              <w:rPr>
                <w:rFonts w:ascii="Calibri" w:eastAsia="Times New Roman" w:hAnsi="Calibri" w:cs="Times New Roman"/>
                <w:color w:val="000000"/>
              </w:rPr>
              <w:t>on the broader market and policy systems in which it i</w:t>
            </w:r>
            <w:r w:rsidR="005E2967">
              <w:rPr>
                <w:rFonts w:ascii="Calibri" w:eastAsia="Times New Roman" w:hAnsi="Calibri" w:cs="Times New Roman"/>
                <w:color w:val="000000"/>
              </w:rPr>
              <w:t>ntervenes</w:t>
            </w:r>
            <w:r w:rsidR="00506542">
              <w:rPr>
                <w:rFonts w:ascii="Calibri" w:eastAsia="Times New Roman" w:hAnsi="Calibri" w:cs="Times New Roman"/>
                <w:color w:val="000000"/>
              </w:rPr>
              <w:t>*</w:t>
            </w:r>
          </w:p>
        </w:tc>
        <w:tc>
          <w:tcPr>
            <w:tcW w:w="1189" w:type="dxa"/>
            <w:shd w:val="clear" w:color="000000" w:fill="C6E0B4"/>
            <w:noWrap/>
            <w:vAlign w:val="center"/>
          </w:tcPr>
          <w:p w14:paraId="5C271350" w14:textId="77777777" w:rsidR="006976E3" w:rsidRPr="007A02D4" w:rsidRDefault="005E3846"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UNCDF Global</w:t>
            </w:r>
          </w:p>
        </w:tc>
        <w:tc>
          <w:tcPr>
            <w:tcW w:w="1715" w:type="dxa"/>
            <w:shd w:val="clear" w:color="000000" w:fill="C6E0B4"/>
            <w:noWrap/>
            <w:vAlign w:val="center"/>
          </w:tcPr>
          <w:p w14:paraId="621CD6B3" w14:textId="77777777" w:rsidR="006976E3" w:rsidRPr="007A02D4" w:rsidRDefault="009918C1" w:rsidP="00833F1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201</w:t>
            </w:r>
            <w:r w:rsidR="00506542">
              <w:rPr>
                <w:rFonts w:ascii="Calibri" w:eastAsia="Times New Roman" w:hAnsi="Calibri" w:cs="Times New Roman"/>
                <w:color w:val="000000"/>
              </w:rPr>
              <w:t>4</w:t>
            </w:r>
            <w:r>
              <w:rPr>
                <w:rFonts w:ascii="Calibri" w:eastAsia="Times New Roman" w:hAnsi="Calibri" w:cs="Times New Roman"/>
                <w:color w:val="000000"/>
              </w:rPr>
              <w:t xml:space="preserve"> - 2020</w:t>
            </w:r>
          </w:p>
        </w:tc>
        <w:tc>
          <w:tcPr>
            <w:tcW w:w="1283" w:type="dxa"/>
            <w:shd w:val="clear" w:color="000000" w:fill="C6E0B4"/>
            <w:noWrap/>
            <w:vAlign w:val="center"/>
          </w:tcPr>
          <w:p w14:paraId="07658DC9" w14:textId="77777777" w:rsidR="006976E3" w:rsidRPr="007A02D4" w:rsidRDefault="009918C1"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Global</w:t>
            </w:r>
          </w:p>
        </w:tc>
        <w:tc>
          <w:tcPr>
            <w:tcW w:w="1646" w:type="dxa"/>
            <w:shd w:val="clear" w:color="000000" w:fill="C6E0B4"/>
            <w:vAlign w:val="center"/>
          </w:tcPr>
          <w:p w14:paraId="5DFD1C0E" w14:textId="77777777" w:rsidR="006976E3" w:rsidRPr="007A02D4" w:rsidRDefault="00C84D80"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Thematic Evaluation</w:t>
            </w:r>
          </w:p>
        </w:tc>
        <w:tc>
          <w:tcPr>
            <w:tcW w:w="1706" w:type="dxa"/>
            <w:shd w:val="clear" w:color="000000" w:fill="C6E0B4"/>
            <w:noWrap/>
            <w:vAlign w:val="center"/>
          </w:tcPr>
          <w:p w14:paraId="522A1C3A" w14:textId="77777777" w:rsidR="006976E3" w:rsidRPr="007A02D4" w:rsidRDefault="00506542"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Q3 2020 </w:t>
            </w:r>
          </w:p>
        </w:tc>
        <w:tc>
          <w:tcPr>
            <w:tcW w:w="1348" w:type="dxa"/>
            <w:shd w:val="clear" w:color="000000" w:fill="C6E0B4"/>
            <w:noWrap/>
            <w:vAlign w:val="center"/>
          </w:tcPr>
          <w:p w14:paraId="3489C06D" w14:textId="77777777" w:rsidR="006976E3" w:rsidRPr="007A02D4" w:rsidRDefault="00506542"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Q1 2021</w:t>
            </w:r>
          </w:p>
        </w:tc>
        <w:tc>
          <w:tcPr>
            <w:tcW w:w="1124" w:type="dxa"/>
            <w:shd w:val="clear" w:color="000000" w:fill="C6E0B4"/>
            <w:noWrap/>
            <w:vAlign w:val="center"/>
          </w:tcPr>
          <w:p w14:paraId="23A7E9E5" w14:textId="77777777" w:rsidR="006976E3" w:rsidRPr="007A02D4" w:rsidRDefault="00506542"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TBC</w:t>
            </w:r>
          </w:p>
        </w:tc>
      </w:tr>
      <w:tr w:rsidR="00224DD3" w:rsidRPr="00C459A7" w14:paraId="204CDC5B" w14:textId="77777777" w:rsidTr="00053C59">
        <w:trPr>
          <w:trHeight w:val="303"/>
        </w:trPr>
        <w:tc>
          <w:tcPr>
            <w:tcW w:w="1179" w:type="dxa"/>
            <w:shd w:val="clear" w:color="000000" w:fill="C6E0B4"/>
            <w:noWrap/>
            <w:vAlign w:val="center"/>
          </w:tcPr>
          <w:p w14:paraId="5774FFD3" w14:textId="4D1EF891" w:rsidR="00224DD3" w:rsidRDefault="00145B0F"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2020</w:t>
            </w:r>
          </w:p>
        </w:tc>
        <w:tc>
          <w:tcPr>
            <w:tcW w:w="3567" w:type="dxa"/>
            <w:shd w:val="clear" w:color="000000" w:fill="C6E0B4"/>
            <w:noWrap/>
            <w:vAlign w:val="center"/>
          </w:tcPr>
          <w:p w14:paraId="3E872C93" w14:textId="3832A2A0" w:rsidR="00224DD3" w:rsidRDefault="00145B0F" w:rsidP="005E296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Assessment of how UNCDF makes finance work for women and girls and the effects of this on their lives and livelihoods*</w:t>
            </w:r>
          </w:p>
        </w:tc>
        <w:tc>
          <w:tcPr>
            <w:tcW w:w="1189" w:type="dxa"/>
            <w:shd w:val="clear" w:color="000000" w:fill="C6E0B4"/>
            <w:noWrap/>
            <w:vAlign w:val="center"/>
          </w:tcPr>
          <w:p w14:paraId="62C5E4F5" w14:textId="0995A6B3" w:rsidR="00224DD3" w:rsidRDefault="00145B0F"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UNCDF Global</w:t>
            </w:r>
          </w:p>
        </w:tc>
        <w:tc>
          <w:tcPr>
            <w:tcW w:w="1715" w:type="dxa"/>
            <w:shd w:val="clear" w:color="000000" w:fill="C6E0B4"/>
            <w:noWrap/>
            <w:vAlign w:val="center"/>
          </w:tcPr>
          <w:p w14:paraId="5CED77E0" w14:textId="4D28DAF2" w:rsidR="00224DD3" w:rsidRDefault="00145B0F" w:rsidP="00833F1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2014 - 2021</w:t>
            </w:r>
          </w:p>
        </w:tc>
        <w:tc>
          <w:tcPr>
            <w:tcW w:w="1283" w:type="dxa"/>
            <w:shd w:val="clear" w:color="000000" w:fill="C6E0B4"/>
            <w:noWrap/>
            <w:vAlign w:val="center"/>
          </w:tcPr>
          <w:p w14:paraId="1D1CA34B" w14:textId="33645F6A" w:rsidR="00224DD3" w:rsidRDefault="00145B0F"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Global</w:t>
            </w:r>
          </w:p>
        </w:tc>
        <w:tc>
          <w:tcPr>
            <w:tcW w:w="1646" w:type="dxa"/>
            <w:shd w:val="clear" w:color="000000" w:fill="C6E0B4"/>
            <w:vAlign w:val="center"/>
          </w:tcPr>
          <w:p w14:paraId="6EB142B2" w14:textId="1D01017E" w:rsidR="00224DD3" w:rsidRDefault="00145B0F" w:rsidP="005A2AA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Thematic </w:t>
            </w:r>
            <w:r w:rsidR="005A2AAB">
              <w:rPr>
                <w:rFonts w:ascii="Calibri" w:eastAsia="Times New Roman" w:hAnsi="Calibri" w:cs="Times New Roman"/>
                <w:color w:val="000000"/>
              </w:rPr>
              <w:t>Evaluation</w:t>
            </w:r>
          </w:p>
        </w:tc>
        <w:tc>
          <w:tcPr>
            <w:tcW w:w="1706" w:type="dxa"/>
            <w:shd w:val="clear" w:color="000000" w:fill="C6E0B4"/>
            <w:noWrap/>
            <w:vAlign w:val="center"/>
          </w:tcPr>
          <w:p w14:paraId="21588753" w14:textId="4AA2F22D" w:rsidR="00224DD3" w:rsidRDefault="005A2AAB"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Q4 2020</w:t>
            </w:r>
          </w:p>
        </w:tc>
        <w:tc>
          <w:tcPr>
            <w:tcW w:w="1348" w:type="dxa"/>
            <w:shd w:val="clear" w:color="000000" w:fill="C6E0B4"/>
            <w:noWrap/>
            <w:vAlign w:val="center"/>
          </w:tcPr>
          <w:p w14:paraId="5C4C3AEA" w14:textId="6831730D" w:rsidR="00224DD3" w:rsidRDefault="005A2AAB"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Q2 2021</w:t>
            </w:r>
          </w:p>
        </w:tc>
        <w:tc>
          <w:tcPr>
            <w:tcW w:w="1124" w:type="dxa"/>
            <w:shd w:val="clear" w:color="000000" w:fill="C6E0B4"/>
            <w:noWrap/>
            <w:vAlign w:val="center"/>
          </w:tcPr>
          <w:p w14:paraId="737D12F3" w14:textId="4C17973C" w:rsidR="00224DD3" w:rsidRDefault="005A2AAB" w:rsidP="00AE7E0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TBC</w:t>
            </w:r>
          </w:p>
        </w:tc>
      </w:tr>
      <w:tr w:rsidR="00D97B24" w:rsidRPr="00C459A7" w14:paraId="7ABFA2DB" w14:textId="77777777" w:rsidTr="00053C59">
        <w:trPr>
          <w:trHeight w:val="303"/>
        </w:trPr>
        <w:tc>
          <w:tcPr>
            <w:tcW w:w="1179" w:type="dxa"/>
            <w:shd w:val="clear" w:color="000000" w:fill="D9E1F2"/>
            <w:noWrap/>
            <w:vAlign w:val="center"/>
            <w:hideMark/>
          </w:tcPr>
          <w:p w14:paraId="44AA9FE7"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2021</w:t>
            </w:r>
          </w:p>
        </w:tc>
        <w:tc>
          <w:tcPr>
            <w:tcW w:w="3567" w:type="dxa"/>
            <w:shd w:val="clear" w:color="000000" w:fill="D9E1F2"/>
            <w:noWrap/>
            <w:vAlign w:val="center"/>
            <w:hideMark/>
          </w:tcPr>
          <w:p w14:paraId="60C539DB"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DRC Actif </w:t>
            </w:r>
          </w:p>
        </w:tc>
        <w:tc>
          <w:tcPr>
            <w:tcW w:w="1189" w:type="dxa"/>
            <w:shd w:val="clear" w:color="000000" w:fill="D9E1F2"/>
            <w:noWrap/>
            <w:vAlign w:val="center"/>
            <w:hideMark/>
          </w:tcPr>
          <w:p w14:paraId="094977B4"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Congo </w:t>
            </w:r>
          </w:p>
        </w:tc>
        <w:tc>
          <w:tcPr>
            <w:tcW w:w="1715" w:type="dxa"/>
            <w:shd w:val="clear" w:color="000000" w:fill="D9E1F2"/>
            <w:noWrap/>
            <w:vAlign w:val="center"/>
            <w:hideMark/>
          </w:tcPr>
          <w:p w14:paraId="6281F281"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2017-2021</w:t>
            </w:r>
          </w:p>
        </w:tc>
        <w:tc>
          <w:tcPr>
            <w:tcW w:w="1283" w:type="dxa"/>
            <w:shd w:val="clear" w:color="000000" w:fill="D9E1F2"/>
            <w:noWrap/>
            <w:vAlign w:val="center"/>
            <w:hideMark/>
          </w:tcPr>
          <w:p w14:paraId="2E412EF5"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FIPA</w:t>
            </w:r>
          </w:p>
        </w:tc>
        <w:tc>
          <w:tcPr>
            <w:tcW w:w="1646" w:type="dxa"/>
            <w:shd w:val="clear" w:color="000000" w:fill="D9E1F2"/>
            <w:vAlign w:val="center"/>
            <w:hideMark/>
          </w:tcPr>
          <w:p w14:paraId="15B33CA8"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Final </w:t>
            </w:r>
            <w:r w:rsidR="00037ED9">
              <w:rPr>
                <w:rFonts w:ascii="Calibri" w:eastAsia="Times New Roman" w:hAnsi="Calibri" w:cs="Times New Roman"/>
                <w:iCs/>
                <w:color w:val="000000"/>
              </w:rPr>
              <w:t xml:space="preserve">Project </w:t>
            </w:r>
            <w:r w:rsidRPr="007A02D4">
              <w:rPr>
                <w:rFonts w:ascii="Calibri" w:eastAsia="Times New Roman" w:hAnsi="Calibri" w:cs="Times New Roman"/>
                <w:iCs/>
                <w:color w:val="000000"/>
              </w:rPr>
              <w:t xml:space="preserve">Evaluation </w:t>
            </w:r>
          </w:p>
        </w:tc>
        <w:tc>
          <w:tcPr>
            <w:tcW w:w="1706" w:type="dxa"/>
            <w:shd w:val="clear" w:color="000000" w:fill="D9E1F2"/>
            <w:noWrap/>
            <w:vAlign w:val="center"/>
            <w:hideMark/>
          </w:tcPr>
          <w:p w14:paraId="182AAFBB"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Q1 2021</w:t>
            </w:r>
          </w:p>
        </w:tc>
        <w:tc>
          <w:tcPr>
            <w:tcW w:w="1348" w:type="dxa"/>
            <w:shd w:val="clear" w:color="000000" w:fill="D9E1F2"/>
            <w:noWrap/>
            <w:vAlign w:val="center"/>
            <w:hideMark/>
          </w:tcPr>
          <w:p w14:paraId="38A46357"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Q3 2021</w:t>
            </w:r>
          </w:p>
        </w:tc>
        <w:tc>
          <w:tcPr>
            <w:tcW w:w="1124" w:type="dxa"/>
            <w:shd w:val="clear" w:color="000000" w:fill="D9E1F2"/>
            <w:noWrap/>
            <w:vAlign w:val="center"/>
            <w:hideMark/>
          </w:tcPr>
          <w:p w14:paraId="1583C23F"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TBC</w:t>
            </w:r>
          </w:p>
        </w:tc>
      </w:tr>
      <w:tr w:rsidR="00D97B24" w:rsidRPr="00C459A7" w14:paraId="63446859" w14:textId="77777777" w:rsidTr="00053C59">
        <w:trPr>
          <w:trHeight w:val="619"/>
        </w:trPr>
        <w:tc>
          <w:tcPr>
            <w:tcW w:w="1179" w:type="dxa"/>
            <w:shd w:val="clear" w:color="CCCCFF" w:fill="D9E1F2"/>
            <w:vAlign w:val="center"/>
            <w:hideMark/>
          </w:tcPr>
          <w:p w14:paraId="24D79FB3" w14:textId="77777777" w:rsidR="00D75A61" w:rsidRPr="007A02D4" w:rsidRDefault="00D75A61" w:rsidP="00AE7E0F">
            <w:pPr>
              <w:spacing w:after="0" w:line="240" w:lineRule="auto"/>
              <w:jc w:val="center"/>
              <w:rPr>
                <w:rFonts w:ascii="Arial" w:eastAsia="Times New Roman" w:hAnsi="Arial" w:cs="Arial"/>
                <w:iCs/>
                <w:color w:val="000000"/>
                <w:sz w:val="20"/>
                <w:szCs w:val="20"/>
              </w:rPr>
            </w:pPr>
            <w:r w:rsidRPr="007A02D4">
              <w:rPr>
                <w:rFonts w:ascii="Arial" w:eastAsia="Times New Roman" w:hAnsi="Arial" w:cs="Arial"/>
                <w:iCs/>
                <w:color w:val="000000"/>
                <w:sz w:val="20"/>
                <w:szCs w:val="20"/>
              </w:rPr>
              <w:t>2021</w:t>
            </w:r>
          </w:p>
        </w:tc>
        <w:tc>
          <w:tcPr>
            <w:tcW w:w="3567" w:type="dxa"/>
            <w:shd w:val="clear" w:color="000000" w:fill="D9E1F2"/>
            <w:vAlign w:val="center"/>
            <w:hideMark/>
          </w:tcPr>
          <w:p w14:paraId="7F165E7B" w14:textId="5515EBA5" w:rsidR="00D75A61" w:rsidRPr="007A02D4" w:rsidRDefault="00D75A61" w:rsidP="00A022D2">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Financial Inclusion for </w:t>
            </w:r>
            <w:r w:rsidR="00A022D2">
              <w:rPr>
                <w:rFonts w:ascii="Calibri" w:eastAsia="Times New Roman" w:hAnsi="Calibri" w:cs="Times New Roman"/>
                <w:iCs/>
                <w:color w:val="000000"/>
              </w:rPr>
              <w:t>F</w:t>
            </w:r>
            <w:r w:rsidRPr="007A02D4">
              <w:rPr>
                <w:rFonts w:ascii="Calibri" w:eastAsia="Times New Roman" w:hAnsi="Calibri" w:cs="Times New Roman"/>
                <w:iCs/>
                <w:color w:val="000000"/>
              </w:rPr>
              <w:t xml:space="preserve">orcibly </w:t>
            </w:r>
            <w:r w:rsidR="00A022D2">
              <w:rPr>
                <w:rFonts w:ascii="Calibri" w:eastAsia="Times New Roman" w:hAnsi="Calibri" w:cs="Times New Roman"/>
                <w:iCs/>
                <w:color w:val="000000"/>
              </w:rPr>
              <w:t>Displaced P</w:t>
            </w:r>
            <w:r w:rsidRPr="007A02D4">
              <w:rPr>
                <w:rFonts w:ascii="Calibri" w:eastAsia="Times New Roman" w:hAnsi="Calibri" w:cs="Times New Roman"/>
                <w:iCs/>
                <w:color w:val="000000"/>
              </w:rPr>
              <w:t>ersons</w:t>
            </w:r>
            <w:r w:rsidR="00A022D2">
              <w:rPr>
                <w:rFonts w:ascii="Calibri" w:eastAsia="Times New Roman" w:hAnsi="Calibri" w:cs="Times New Roman"/>
                <w:iCs/>
                <w:color w:val="000000"/>
              </w:rPr>
              <w:t xml:space="preserve"> programme</w:t>
            </w:r>
          </w:p>
        </w:tc>
        <w:tc>
          <w:tcPr>
            <w:tcW w:w="1189" w:type="dxa"/>
            <w:shd w:val="clear" w:color="000000" w:fill="D9E1F2"/>
            <w:noWrap/>
            <w:vAlign w:val="center"/>
            <w:hideMark/>
          </w:tcPr>
          <w:p w14:paraId="18338754"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GTI </w:t>
            </w:r>
          </w:p>
        </w:tc>
        <w:tc>
          <w:tcPr>
            <w:tcW w:w="1715" w:type="dxa"/>
            <w:shd w:val="clear" w:color="000000" w:fill="D9E1F2"/>
            <w:noWrap/>
            <w:vAlign w:val="center"/>
            <w:hideMark/>
          </w:tcPr>
          <w:p w14:paraId="0BDB51B3"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2018 - 2022</w:t>
            </w:r>
          </w:p>
        </w:tc>
        <w:tc>
          <w:tcPr>
            <w:tcW w:w="1283" w:type="dxa"/>
            <w:shd w:val="clear" w:color="000000" w:fill="D9E1F2"/>
            <w:noWrap/>
            <w:vAlign w:val="center"/>
            <w:hideMark/>
          </w:tcPr>
          <w:p w14:paraId="77D9EBA2"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FIPA</w:t>
            </w:r>
          </w:p>
        </w:tc>
        <w:tc>
          <w:tcPr>
            <w:tcW w:w="1646" w:type="dxa"/>
            <w:shd w:val="clear" w:color="000000" w:fill="D9E1F2"/>
            <w:vAlign w:val="center"/>
            <w:hideMark/>
          </w:tcPr>
          <w:p w14:paraId="7E319B1C"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Mid-Term </w:t>
            </w:r>
            <w:r w:rsidR="00037ED9">
              <w:rPr>
                <w:rFonts w:ascii="Calibri" w:eastAsia="Times New Roman" w:hAnsi="Calibri" w:cs="Times New Roman"/>
                <w:iCs/>
                <w:color w:val="000000"/>
              </w:rPr>
              <w:t xml:space="preserve">Programme </w:t>
            </w:r>
            <w:r w:rsidRPr="007A02D4">
              <w:rPr>
                <w:rFonts w:ascii="Calibri" w:eastAsia="Times New Roman" w:hAnsi="Calibri" w:cs="Times New Roman"/>
                <w:iCs/>
                <w:color w:val="000000"/>
              </w:rPr>
              <w:t xml:space="preserve">Evaluation </w:t>
            </w:r>
          </w:p>
        </w:tc>
        <w:tc>
          <w:tcPr>
            <w:tcW w:w="1706" w:type="dxa"/>
            <w:shd w:val="clear" w:color="000000" w:fill="D9E1F2"/>
            <w:noWrap/>
            <w:vAlign w:val="center"/>
            <w:hideMark/>
          </w:tcPr>
          <w:p w14:paraId="50188BB7"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Q1 2021</w:t>
            </w:r>
          </w:p>
        </w:tc>
        <w:tc>
          <w:tcPr>
            <w:tcW w:w="1348" w:type="dxa"/>
            <w:shd w:val="clear" w:color="000000" w:fill="D9E1F2"/>
            <w:noWrap/>
            <w:vAlign w:val="center"/>
            <w:hideMark/>
          </w:tcPr>
          <w:p w14:paraId="58B4BFC6"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Q3 2021</w:t>
            </w:r>
          </w:p>
        </w:tc>
        <w:tc>
          <w:tcPr>
            <w:tcW w:w="1124" w:type="dxa"/>
            <w:shd w:val="clear" w:color="000000" w:fill="D9E1F2"/>
            <w:noWrap/>
            <w:vAlign w:val="center"/>
            <w:hideMark/>
          </w:tcPr>
          <w:p w14:paraId="292DF608"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TBC</w:t>
            </w:r>
          </w:p>
        </w:tc>
      </w:tr>
      <w:tr w:rsidR="00D97B24" w:rsidRPr="00C459A7" w14:paraId="06FAB7E0" w14:textId="77777777" w:rsidTr="00053C59">
        <w:trPr>
          <w:trHeight w:val="303"/>
        </w:trPr>
        <w:tc>
          <w:tcPr>
            <w:tcW w:w="1179" w:type="dxa"/>
            <w:shd w:val="clear" w:color="000000" w:fill="D9E1F2"/>
            <w:noWrap/>
            <w:vAlign w:val="center"/>
            <w:hideMark/>
          </w:tcPr>
          <w:p w14:paraId="620B07DD"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2021</w:t>
            </w:r>
          </w:p>
        </w:tc>
        <w:tc>
          <w:tcPr>
            <w:tcW w:w="3567" w:type="dxa"/>
            <w:shd w:val="clear" w:color="000000" w:fill="D9E1F2"/>
            <w:noWrap/>
            <w:vAlign w:val="center"/>
            <w:hideMark/>
          </w:tcPr>
          <w:p w14:paraId="5C39A6A4"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PoWER</w:t>
            </w:r>
          </w:p>
        </w:tc>
        <w:tc>
          <w:tcPr>
            <w:tcW w:w="1189" w:type="dxa"/>
            <w:shd w:val="clear" w:color="000000" w:fill="D9E1F2"/>
            <w:noWrap/>
            <w:vAlign w:val="center"/>
            <w:hideMark/>
          </w:tcPr>
          <w:p w14:paraId="2ABAB6FF"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GTI</w:t>
            </w:r>
          </w:p>
        </w:tc>
        <w:tc>
          <w:tcPr>
            <w:tcW w:w="1715" w:type="dxa"/>
            <w:shd w:val="clear" w:color="000000" w:fill="D9E1F2"/>
            <w:noWrap/>
            <w:vAlign w:val="center"/>
            <w:hideMark/>
          </w:tcPr>
          <w:p w14:paraId="580B312C" w14:textId="77777777" w:rsidR="00D75A61" w:rsidRPr="007A02D4" w:rsidRDefault="00D75A61" w:rsidP="00DF6757">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201</w:t>
            </w:r>
            <w:r w:rsidR="00DF6757" w:rsidRPr="007A02D4">
              <w:rPr>
                <w:rFonts w:ascii="Calibri" w:eastAsia="Times New Roman" w:hAnsi="Calibri" w:cs="Times New Roman"/>
                <w:iCs/>
                <w:color w:val="000000"/>
              </w:rPr>
              <w:t>8</w:t>
            </w:r>
            <w:r w:rsidRPr="007A02D4">
              <w:rPr>
                <w:rFonts w:ascii="Calibri" w:eastAsia="Times New Roman" w:hAnsi="Calibri" w:cs="Times New Roman"/>
                <w:iCs/>
                <w:color w:val="000000"/>
              </w:rPr>
              <w:t xml:space="preserve"> - 202</w:t>
            </w:r>
            <w:r w:rsidR="00DF6757" w:rsidRPr="007A02D4">
              <w:rPr>
                <w:rFonts w:ascii="Calibri" w:eastAsia="Times New Roman" w:hAnsi="Calibri" w:cs="Times New Roman"/>
                <w:iCs/>
                <w:color w:val="000000"/>
              </w:rPr>
              <w:t>2</w:t>
            </w:r>
          </w:p>
        </w:tc>
        <w:tc>
          <w:tcPr>
            <w:tcW w:w="1283" w:type="dxa"/>
            <w:shd w:val="clear" w:color="000000" w:fill="D9E1F2"/>
            <w:noWrap/>
            <w:vAlign w:val="center"/>
            <w:hideMark/>
          </w:tcPr>
          <w:p w14:paraId="406A4B56"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FIPA</w:t>
            </w:r>
          </w:p>
        </w:tc>
        <w:tc>
          <w:tcPr>
            <w:tcW w:w="1646" w:type="dxa"/>
            <w:shd w:val="clear" w:color="000000" w:fill="D9E1F2"/>
            <w:vAlign w:val="center"/>
            <w:hideMark/>
          </w:tcPr>
          <w:p w14:paraId="48D900BA" w14:textId="77777777" w:rsidR="00D75A61" w:rsidRPr="007A02D4" w:rsidRDefault="00DF6757"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 xml:space="preserve">Mid-Term </w:t>
            </w:r>
            <w:r w:rsidR="00037ED9">
              <w:rPr>
                <w:rFonts w:ascii="Calibri" w:eastAsia="Times New Roman" w:hAnsi="Calibri" w:cs="Times New Roman"/>
                <w:iCs/>
                <w:color w:val="000000"/>
              </w:rPr>
              <w:t xml:space="preserve">Programme </w:t>
            </w:r>
            <w:r w:rsidR="00D75A61" w:rsidRPr="007A02D4">
              <w:rPr>
                <w:rFonts w:ascii="Calibri" w:eastAsia="Times New Roman" w:hAnsi="Calibri" w:cs="Times New Roman"/>
                <w:iCs/>
                <w:color w:val="000000"/>
              </w:rPr>
              <w:t xml:space="preserve">Evaluation </w:t>
            </w:r>
          </w:p>
        </w:tc>
        <w:tc>
          <w:tcPr>
            <w:tcW w:w="1706" w:type="dxa"/>
            <w:shd w:val="clear" w:color="000000" w:fill="D9E1F2"/>
            <w:noWrap/>
            <w:vAlign w:val="center"/>
            <w:hideMark/>
          </w:tcPr>
          <w:p w14:paraId="47FDBB48"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Q1 2021</w:t>
            </w:r>
          </w:p>
        </w:tc>
        <w:tc>
          <w:tcPr>
            <w:tcW w:w="1348" w:type="dxa"/>
            <w:shd w:val="clear" w:color="000000" w:fill="D9E1F2"/>
            <w:noWrap/>
            <w:vAlign w:val="center"/>
            <w:hideMark/>
          </w:tcPr>
          <w:p w14:paraId="6C069F95"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Q3 2021</w:t>
            </w:r>
          </w:p>
        </w:tc>
        <w:tc>
          <w:tcPr>
            <w:tcW w:w="1124" w:type="dxa"/>
            <w:shd w:val="clear" w:color="000000" w:fill="D9E1F2"/>
            <w:noWrap/>
            <w:vAlign w:val="center"/>
            <w:hideMark/>
          </w:tcPr>
          <w:p w14:paraId="5524FC95" w14:textId="77777777" w:rsidR="00D75A61" w:rsidRPr="007A02D4" w:rsidRDefault="00D75A61" w:rsidP="00AE7E0F">
            <w:pPr>
              <w:spacing w:after="0" w:line="240" w:lineRule="auto"/>
              <w:jc w:val="center"/>
              <w:rPr>
                <w:rFonts w:ascii="Calibri" w:eastAsia="Times New Roman" w:hAnsi="Calibri" w:cs="Times New Roman"/>
                <w:iCs/>
                <w:color w:val="000000"/>
              </w:rPr>
            </w:pPr>
            <w:r w:rsidRPr="007A02D4">
              <w:rPr>
                <w:rFonts w:ascii="Calibri" w:eastAsia="Times New Roman" w:hAnsi="Calibri" w:cs="Times New Roman"/>
                <w:iCs/>
                <w:color w:val="000000"/>
              </w:rPr>
              <w:t>TBC</w:t>
            </w:r>
          </w:p>
        </w:tc>
      </w:tr>
      <w:tr w:rsidR="00E16CCC" w:rsidRPr="00C459A7" w14:paraId="5034AC89" w14:textId="77777777" w:rsidTr="00053C59">
        <w:trPr>
          <w:trHeight w:val="303"/>
        </w:trPr>
        <w:tc>
          <w:tcPr>
            <w:tcW w:w="1179" w:type="dxa"/>
            <w:shd w:val="clear" w:color="000000" w:fill="D9E1F2"/>
            <w:noWrap/>
            <w:vAlign w:val="center"/>
          </w:tcPr>
          <w:p w14:paraId="5A733BA3" w14:textId="0FCBE1F5" w:rsidR="00E16CCC" w:rsidRPr="007A02D4" w:rsidRDefault="00E16CCC" w:rsidP="00AE7E0F">
            <w:pPr>
              <w:spacing w:after="0" w:line="240" w:lineRule="auto"/>
              <w:jc w:val="center"/>
              <w:rPr>
                <w:rFonts w:ascii="Calibri" w:eastAsia="Times New Roman" w:hAnsi="Calibri" w:cs="Times New Roman"/>
                <w:iCs/>
                <w:color w:val="000000"/>
              </w:rPr>
            </w:pPr>
            <w:r>
              <w:rPr>
                <w:rFonts w:ascii="Calibri" w:eastAsia="Times New Roman" w:hAnsi="Calibri" w:cs="Times New Roman"/>
                <w:iCs/>
                <w:color w:val="000000"/>
              </w:rPr>
              <w:t>2021</w:t>
            </w:r>
          </w:p>
        </w:tc>
        <w:tc>
          <w:tcPr>
            <w:tcW w:w="3567" w:type="dxa"/>
            <w:shd w:val="clear" w:color="000000" w:fill="D9E1F2"/>
            <w:noWrap/>
            <w:vAlign w:val="center"/>
          </w:tcPr>
          <w:p w14:paraId="11C3B947" w14:textId="2DDECA76" w:rsidR="00E16CCC" w:rsidRPr="007A02D4" w:rsidRDefault="00E16CCC" w:rsidP="00AE7E0F">
            <w:pPr>
              <w:spacing w:after="0" w:line="240" w:lineRule="auto"/>
              <w:jc w:val="center"/>
              <w:rPr>
                <w:rFonts w:ascii="Calibri" w:eastAsia="Times New Roman" w:hAnsi="Calibri" w:cs="Times New Roman"/>
                <w:iCs/>
                <w:color w:val="000000"/>
              </w:rPr>
            </w:pPr>
            <w:r>
              <w:rPr>
                <w:rFonts w:ascii="Calibri" w:eastAsia="Times New Roman" w:hAnsi="Calibri" w:cs="Times New Roman"/>
                <w:iCs/>
                <w:color w:val="000000"/>
              </w:rPr>
              <w:t>Independent Evaluation of UNCDF’s Strategic Framework</w:t>
            </w:r>
          </w:p>
        </w:tc>
        <w:tc>
          <w:tcPr>
            <w:tcW w:w="1189" w:type="dxa"/>
            <w:shd w:val="clear" w:color="000000" w:fill="D9E1F2"/>
            <w:noWrap/>
            <w:vAlign w:val="center"/>
          </w:tcPr>
          <w:p w14:paraId="1CA7A333" w14:textId="5709D700" w:rsidR="00E16CCC" w:rsidRPr="007A02D4" w:rsidRDefault="00E16CCC" w:rsidP="00AE7E0F">
            <w:pPr>
              <w:spacing w:after="0" w:line="240" w:lineRule="auto"/>
              <w:jc w:val="center"/>
              <w:rPr>
                <w:rFonts w:ascii="Calibri" w:eastAsia="Times New Roman" w:hAnsi="Calibri" w:cs="Times New Roman"/>
                <w:iCs/>
                <w:color w:val="000000"/>
              </w:rPr>
            </w:pPr>
            <w:r>
              <w:rPr>
                <w:rFonts w:ascii="Calibri" w:eastAsia="Times New Roman" w:hAnsi="Calibri" w:cs="Times New Roman"/>
                <w:iCs/>
                <w:color w:val="000000"/>
              </w:rPr>
              <w:t>UNCDF Global</w:t>
            </w:r>
          </w:p>
        </w:tc>
        <w:tc>
          <w:tcPr>
            <w:tcW w:w="1715" w:type="dxa"/>
            <w:shd w:val="clear" w:color="000000" w:fill="D9E1F2"/>
            <w:noWrap/>
            <w:vAlign w:val="center"/>
          </w:tcPr>
          <w:p w14:paraId="662C9D2A" w14:textId="2F89F571" w:rsidR="00E16CCC" w:rsidRPr="007A02D4" w:rsidRDefault="00E16CCC" w:rsidP="00DF6757">
            <w:pPr>
              <w:spacing w:after="0" w:line="240" w:lineRule="auto"/>
              <w:jc w:val="center"/>
              <w:rPr>
                <w:rFonts w:ascii="Calibri" w:eastAsia="Times New Roman" w:hAnsi="Calibri" w:cs="Times New Roman"/>
                <w:iCs/>
                <w:color w:val="000000"/>
              </w:rPr>
            </w:pPr>
            <w:r>
              <w:rPr>
                <w:rFonts w:ascii="Calibri" w:eastAsia="Times New Roman" w:hAnsi="Calibri" w:cs="Times New Roman"/>
                <w:iCs/>
                <w:color w:val="000000"/>
              </w:rPr>
              <w:t>2018 - 2021</w:t>
            </w:r>
          </w:p>
        </w:tc>
        <w:tc>
          <w:tcPr>
            <w:tcW w:w="1283" w:type="dxa"/>
            <w:shd w:val="clear" w:color="000000" w:fill="D9E1F2"/>
            <w:noWrap/>
            <w:vAlign w:val="center"/>
          </w:tcPr>
          <w:p w14:paraId="58963297" w14:textId="5A99ACBE" w:rsidR="00E16CCC" w:rsidRPr="007A02D4" w:rsidRDefault="00E16CCC" w:rsidP="00AE7E0F">
            <w:pPr>
              <w:spacing w:after="0" w:line="240" w:lineRule="auto"/>
              <w:jc w:val="center"/>
              <w:rPr>
                <w:rFonts w:ascii="Calibri" w:eastAsia="Times New Roman" w:hAnsi="Calibri" w:cs="Times New Roman"/>
                <w:iCs/>
                <w:color w:val="000000"/>
              </w:rPr>
            </w:pPr>
            <w:r>
              <w:rPr>
                <w:rFonts w:ascii="Calibri" w:eastAsia="Times New Roman" w:hAnsi="Calibri" w:cs="Times New Roman"/>
                <w:iCs/>
                <w:color w:val="000000"/>
              </w:rPr>
              <w:t>Global</w:t>
            </w:r>
          </w:p>
        </w:tc>
        <w:tc>
          <w:tcPr>
            <w:tcW w:w="1646" w:type="dxa"/>
            <w:shd w:val="clear" w:color="000000" w:fill="D9E1F2"/>
            <w:vAlign w:val="center"/>
          </w:tcPr>
          <w:p w14:paraId="151FBEFF" w14:textId="5484D3CF" w:rsidR="00E16CCC" w:rsidRPr="007A02D4" w:rsidRDefault="00E16CCC" w:rsidP="00AE7E0F">
            <w:pPr>
              <w:spacing w:after="0" w:line="240" w:lineRule="auto"/>
              <w:jc w:val="center"/>
              <w:rPr>
                <w:rFonts w:ascii="Calibri" w:eastAsia="Times New Roman" w:hAnsi="Calibri" w:cs="Times New Roman"/>
                <w:iCs/>
                <w:color w:val="000000"/>
              </w:rPr>
            </w:pPr>
            <w:r>
              <w:rPr>
                <w:rFonts w:ascii="Calibri" w:eastAsia="Times New Roman" w:hAnsi="Calibri" w:cs="Times New Roman"/>
                <w:iCs/>
                <w:color w:val="000000"/>
              </w:rPr>
              <w:t>Thematic Evaluation</w:t>
            </w:r>
          </w:p>
        </w:tc>
        <w:tc>
          <w:tcPr>
            <w:tcW w:w="1706" w:type="dxa"/>
            <w:shd w:val="clear" w:color="000000" w:fill="D9E1F2"/>
            <w:noWrap/>
            <w:vAlign w:val="center"/>
          </w:tcPr>
          <w:p w14:paraId="7DEF04F0" w14:textId="1F570484" w:rsidR="00E16CCC" w:rsidRPr="007A02D4" w:rsidRDefault="00AB152D" w:rsidP="00AE7E0F">
            <w:pPr>
              <w:spacing w:after="0" w:line="240" w:lineRule="auto"/>
              <w:jc w:val="center"/>
              <w:rPr>
                <w:rFonts w:ascii="Calibri" w:eastAsia="Times New Roman" w:hAnsi="Calibri" w:cs="Times New Roman"/>
                <w:iCs/>
                <w:color w:val="000000"/>
              </w:rPr>
            </w:pPr>
            <w:r>
              <w:rPr>
                <w:rFonts w:ascii="Calibri" w:eastAsia="Times New Roman" w:hAnsi="Calibri" w:cs="Times New Roman"/>
                <w:iCs/>
                <w:color w:val="000000"/>
              </w:rPr>
              <w:t>Q2 2021</w:t>
            </w:r>
          </w:p>
        </w:tc>
        <w:tc>
          <w:tcPr>
            <w:tcW w:w="1348" w:type="dxa"/>
            <w:shd w:val="clear" w:color="000000" w:fill="D9E1F2"/>
            <w:noWrap/>
            <w:vAlign w:val="center"/>
          </w:tcPr>
          <w:p w14:paraId="559D7641" w14:textId="6854F845" w:rsidR="00E16CCC" w:rsidRPr="007A02D4" w:rsidRDefault="00AB152D" w:rsidP="00AE7E0F">
            <w:pPr>
              <w:spacing w:after="0" w:line="240" w:lineRule="auto"/>
              <w:jc w:val="center"/>
              <w:rPr>
                <w:rFonts w:ascii="Calibri" w:eastAsia="Times New Roman" w:hAnsi="Calibri" w:cs="Times New Roman"/>
                <w:iCs/>
                <w:color w:val="000000"/>
              </w:rPr>
            </w:pPr>
            <w:r>
              <w:rPr>
                <w:rFonts w:ascii="Calibri" w:eastAsia="Times New Roman" w:hAnsi="Calibri" w:cs="Times New Roman"/>
                <w:iCs/>
                <w:color w:val="000000"/>
              </w:rPr>
              <w:t>Q3 2021</w:t>
            </w:r>
          </w:p>
        </w:tc>
        <w:tc>
          <w:tcPr>
            <w:tcW w:w="1124" w:type="dxa"/>
            <w:shd w:val="clear" w:color="000000" w:fill="D9E1F2"/>
            <w:noWrap/>
            <w:vAlign w:val="center"/>
          </w:tcPr>
          <w:p w14:paraId="14CE7A40" w14:textId="3FCFFF78" w:rsidR="00E16CCC" w:rsidRPr="007A02D4" w:rsidRDefault="00AB152D" w:rsidP="00AE7E0F">
            <w:pPr>
              <w:spacing w:after="0" w:line="240" w:lineRule="auto"/>
              <w:jc w:val="center"/>
              <w:rPr>
                <w:rFonts w:ascii="Calibri" w:eastAsia="Times New Roman" w:hAnsi="Calibri" w:cs="Times New Roman"/>
                <w:iCs/>
                <w:color w:val="000000"/>
              </w:rPr>
            </w:pPr>
            <w:r>
              <w:rPr>
                <w:rFonts w:ascii="Calibri" w:eastAsia="Times New Roman" w:hAnsi="Calibri" w:cs="Times New Roman"/>
                <w:iCs/>
                <w:color w:val="000000"/>
              </w:rPr>
              <w:t>100,000</w:t>
            </w:r>
            <w:r w:rsidR="002661FC">
              <w:rPr>
                <w:rFonts w:ascii="Calibri" w:eastAsia="Times New Roman" w:hAnsi="Calibri" w:cs="Times New Roman"/>
                <w:iCs/>
                <w:color w:val="000000"/>
              </w:rPr>
              <w:t>+</w:t>
            </w:r>
          </w:p>
        </w:tc>
      </w:tr>
    </w:tbl>
    <w:p w14:paraId="5B6CB463" w14:textId="288C9645" w:rsidR="00417738" w:rsidRDefault="001C702A" w:rsidP="007F7AB0">
      <w:pPr>
        <w:rPr>
          <w:i/>
          <w:sz w:val="24"/>
          <w:szCs w:val="24"/>
        </w:rPr>
      </w:pPr>
      <w:r>
        <w:rPr>
          <w:sz w:val="24"/>
          <w:szCs w:val="24"/>
        </w:rPr>
        <w:t xml:space="preserve">* </w:t>
      </w:r>
      <w:r w:rsidR="00F01C35" w:rsidRPr="00F01C35">
        <w:rPr>
          <w:i/>
          <w:sz w:val="24"/>
          <w:szCs w:val="24"/>
        </w:rPr>
        <w:t>Conduct of t</w:t>
      </w:r>
      <w:r w:rsidRPr="00F01C35">
        <w:rPr>
          <w:i/>
          <w:sz w:val="24"/>
          <w:szCs w:val="24"/>
        </w:rPr>
        <w:t xml:space="preserve">hese evaluations </w:t>
      </w:r>
      <w:r w:rsidR="00F01C35" w:rsidRPr="00F01C35">
        <w:rPr>
          <w:i/>
          <w:sz w:val="24"/>
          <w:szCs w:val="24"/>
        </w:rPr>
        <w:t xml:space="preserve">will be contingent </w:t>
      </w:r>
      <w:r w:rsidR="007B3264" w:rsidRPr="00F01C35">
        <w:rPr>
          <w:i/>
          <w:sz w:val="24"/>
          <w:szCs w:val="24"/>
        </w:rPr>
        <w:t xml:space="preserve">on </w:t>
      </w:r>
      <w:r w:rsidR="009E2090">
        <w:rPr>
          <w:i/>
          <w:sz w:val="24"/>
          <w:szCs w:val="24"/>
        </w:rPr>
        <w:t>UNCDF finding partners willing to help finance them</w:t>
      </w:r>
    </w:p>
    <w:p w14:paraId="298869F9" w14:textId="715644F4" w:rsidR="002661FC" w:rsidRPr="00695E2D" w:rsidRDefault="002661FC" w:rsidP="007F7AB0">
      <w:pPr>
        <w:rPr>
          <w:i/>
          <w:sz w:val="24"/>
          <w:szCs w:val="24"/>
        </w:rPr>
      </w:pPr>
      <w:r>
        <w:rPr>
          <w:i/>
          <w:sz w:val="24"/>
          <w:szCs w:val="24"/>
        </w:rPr>
        <w:t>+ Co-financed by the UNDP IEO</w:t>
      </w:r>
    </w:p>
    <w:p w14:paraId="745113A7" w14:textId="77777777" w:rsidR="00053C59" w:rsidRDefault="00053C59">
      <w:pPr>
        <w:rPr>
          <w:sz w:val="24"/>
          <w:szCs w:val="24"/>
        </w:rPr>
      </w:pPr>
    </w:p>
    <w:sectPr w:rsidR="00053C59" w:rsidSect="00695E2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B9521" w14:textId="77777777" w:rsidR="0046673E" w:rsidRDefault="0046673E" w:rsidP="00F46953">
      <w:pPr>
        <w:spacing w:after="0" w:line="240" w:lineRule="auto"/>
      </w:pPr>
      <w:r>
        <w:separator/>
      </w:r>
    </w:p>
  </w:endnote>
  <w:endnote w:type="continuationSeparator" w:id="0">
    <w:p w14:paraId="5006E1BF" w14:textId="77777777" w:rsidR="0046673E" w:rsidRDefault="0046673E" w:rsidP="00F4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279123"/>
      <w:docPartObj>
        <w:docPartGallery w:val="Page Numbers (Bottom of Page)"/>
        <w:docPartUnique/>
      </w:docPartObj>
    </w:sdtPr>
    <w:sdtEndPr>
      <w:rPr>
        <w:noProof/>
      </w:rPr>
    </w:sdtEndPr>
    <w:sdtContent>
      <w:p w14:paraId="78A70978" w14:textId="19B46E53" w:rsidR="003A40FF" w:rsidRDefault="003A40FF">
        <w:pPr>
          <w:pStyle w:val="Footer"/>
          <w:jc w:val="center"/>
        </w:pPr>
        <w:r>
          <w:fldChar w:fldCharType="begin"/>
        </w:r>
        <w:r>
          <w:instrText xml:space="preserve"> PAGE   \* MERGEFORMAT </w:instrText>
        </w:r>
        <w:r>
          <w:fldChar w:fldCharType="separate"/>
        </w:r>
        <w:r w:rsidR="003C3428">
          <w:rPr>
            <w:noProof/>
          </w:rPr>
          <w:t>2</w:t>
        </w:r>
        <w:r>
          <w:rPr>
            <w:noProof/>
          </w:rPr>
          <w:fldChar w:fldCharType="end"/>
        </w:r>
      </w:p>
    </w:sdtContent>
  </w:sdt>
  <w:p w14:paraId="3B234C1C" w14:textId="77777777" w:rsidR="003A40FF" w:rsidRDefault="003A4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D643A" w14:textId="77777777" w:rsidR="0046673E" w:rsidRDefault="0046673E" w:rsidP="00F46953">
      <w:pPr>
        <w:spacing w:after="0" w:line="240" w:lineRule="auto"/>
      </w:pPr>
      <w:r>
        <w:separator/>
      </w:r>
    </w:p>
  </w:footnote>
  <w:footnote w:type="continuationSeparator" w:id="0">
    <w:p w14:paraId="1620DCD1" w14:textId="77777777" w:rsidR="0046673E" w:rsidRDefault="0046673E" w:rsidP="00F46953">
      <w:pPr>
        <w:spacing w:after="0" w:line="240" w:lineRule="auto"/>
      </w:pPr>
      <w:r>
        <w:continuationSeparator/>
      </w:r>
    </w:p>
  </w:footnote>
  <w:footnote w:id="1">
    <w:p w14:paraId="4F3101FC" w14:textId="77777777" w:rsidR="003A40FF" w:rsidRDefault="003A40FF">
      <w:pPr>
        <w:pStyle w:val="FootnoteText"/>
      </w:pPr>
      <w:r>
        <w:rPr>
          <w:rStyle w:val="FootnoteReference"/>
        </w:rPr>
        <w:footnoteRef/>
      </w:r>
      <w:r>
        <w:t xml:space="preserve"> </w:t>
      </w:r>
      <w:hyperlink r:id="rId1" w:history="1">
        <w:r w:rsidRPr="00876F54">
          <w:rPr>
            <w:rStyle w:val="Hyperlink"/>
          </w:rPr>
          <w:t>http://web.undp.org/evaluation/policy.shtml</w:t>
        </w:r>
      </w:hyperlink>
      <w:r>
        <w:t>, Point 55 (c)</w:t>
      </w:r>
    </w:p>
  </w:footnote>
  <w:footnote w:id="2">
    <w:p w14:paraId="2625F25F" w14:textId="77777777" w:rsidR="003A40FF" w:rsidRDefault="003A40FF" w:rsidP="00E51B6A">
      <w:r>
        <w:rPr>
          <w:rStyle w:val="FootnoteReference"/>
        </w:rPr>
        <w:footnoteRef/>
      </w:r>
      <w:r>
        <w:t xml:space="preserve"> </w:t>
      </w:r>
      <w:r w:rsidRPr="00E51B6A">
        <w:rPr>
          <w:sz w:val="20"/>
          <w:szCs w:val="20"/>
        </w:rPr>
        <w:t xml:space="preserve">It should be noted that in line with the requirements of the Evaluation Policy, the first two years of the Plan are costed. Depending on the size of UNCDF’s portfolio and its success in raising </w:t>
      </w:r>
      <w:r>
        <w:rPr>
          <w:sz w:val="20"/>
          <w:szCs w:val="20"/>
        </w:rPr>
        <w:t xml:space="preserve">resources </w:t>
      </w:r>
      <w:r w:rsidRPr="00E51B6A">
        <w:rPr>
          <w:sz w:val="20"/>
          <w:szCs w:val="20"/>
        </w:rPr>
        <w:t xml:space="preserve">to implement the broader </w:t>
      </w:r>
      <w:r>
        <w:rPr>
          <w:sz w:val="20"/>
          <w:szCs w:val="20"/>
        </w:rPr>
        <w:t xml:space="preserve">objectives of the </w:t>
      </w:r>
      <w:r w:rsidRPr="00E51B6A">
        <w:rPr>
          <w:sz w:val="20"/>
          <w:szCs w:val="20"/>
        </w:rPr>
        <w:t>Strategic Framework, however, the content and focus of the Plan may change.</w:t>
      </w:r>
      <w:r>
        <w:rPr>
          <w:sz w:val="24"/>
          <w:szCs w:val="24"/>
        </w:rPr>
        <w:t xml:space="preserve"> </w:t>
      </w:r>
    </w:p>
  </w:footnote>
  <w:footnote w:id="3">
    <w:p w14:paraId="18CFE77A" w14:textId="77777777" w:rsidR="003A40FF" w:rsidRDefault="003A40FF">
      <w:pPr>
        <w:pStyle w:val="FootnoteText"/>
      </w:pPr>
      <w:r>
        <w:rPr>
          <w:rStyle w:val="FootnoteReference"/>
        </w:rPr>
        <w:footnoteRef/>
      </w:r>
      <w:r>
        <w:t xml:space="preserve"> UNCDF Strategic Framework 2018 – 2021, point 103.</w:t>
      </w:r>
    </w:p>
  </w:footnote>
  <w:footnote w:id="4">
    <w:p w14:paraId="5481E124" w14:textId="6D62E626" w:rsidR="009C254D" w:rsidRDefault="009C254D">
      <w:pPr>
        <w:pStyle w:val="FootnoteText"/>
      </w:pPr>
      <w:r>
        <w:rPr>
          <w:rStyle w:val="FootnoteReference"/>
        </w:rPr>
        <w:footnoteRef/>
      </w:r>
      <w:r>
        <w:t xml:space="preserve"> A third thematic evaluation – the Independent Evaluation of UNCDF’s Strategic Framework – will be conducted by UNDP’s Independent Evaluation Office in 2021.</w:t>
      </w:r>
    </w:p>
  </w:footnote>
  <w:footnote w:id="5">
    <w:p w14:paraId="0DB98A1E" w14:textId="77777777" w:rsidR="003A40FF" w:rsidRDefault="003A40FF">
      <w:pPr>
        <w:pStyle w:val="FootnoteText"/>
      </w:pPr>
      <w:r>
        <w:rPr>
          <w:rStyle w:val="FootnoteReference"/>
        </w:rPr>
        <w:footnoteRef/>
      </w:r>
      <w:r>
        <w:t xml:space="preserve"> Such evaluations are designed using theory – based techniques which require evaluation consultants or firms commissioned by UNCDF’s Evaluation Unit to validate or reconstruct programme theories of change and then hone in through targeted evaluation questions on specific expected results and the ‘how’ and the ‘why’ these results are being achieved (or not) during the evaluations themselves. Evaluation teams are expected to fully respect good practice in the conduct of international development evaluation, including the need for transparent, triangulated data collection and systematic assessment of programs’ performance in supporting gender equality and the empowerment of women. In recent external assessments, the appropriateness of the design and conduct of these evaluations has been validated with scores of either ‘satisfactory’ or ‘highly satisfactory’ by UNDP’s Independent Evaluation Office.</w:t>
      </w:r>
    </w:p>
  </w:footnote>
  <w:footnote w:id="6">
    <w:p w14:paraId="21F45F8A" w14:textId="77777777" w:rsidR="003A40FF" w:rsidRDefault="003A40FF">
      <w:pPr>
        <w:pStyle w:val="FootnoteText"/>
      </w:pPr>
      <w:r>
        <w:rPr>
          <w:rStyle w:val="FootnoteReference"/>
        </w:rPr>
        <w:footnoteRef/>
      </w:r>
      <w:r>
        <w:t xml:space="preserve"> </w:t>
      </w:r>
      <w:r w:rsidRPr="008A3354">
        <w:t>http://www.cgap.org/sites/default/files/Technical-Guide-Measuring-Market-Development-Oct-2017_0.pdf</w:t>
      </w:r>
    </w:p>
  </w:footnote>
  <w:footnote w:id="7">
    <w:p w14:paraId="37020547" w14:textId="2791958D" w:rsidR="003A40FF" w:rsidRDefault="003A40FF" w:rsidP="003A28B0">
      <w:pPr>
        <w:rPr>
          <w:sz w:val="24"/>
          <w:szCs w:val="24"/>
        </w:rPr>
      </w:pPr>
      <w:r>
        <w:rPr>
          <w:rStyle w:val="FootnoteReference"/>
        </w:rPr>
        <w:footnoteRef/>
      </w:r>
      <w:r>
        <w:t xml:space="preserve"> </w:t>
      </w:r>
      <w:r w:rsidR="00AC0BF6">
        <w:rPr>
          <w:sz w:val="20"/>
          <w:szCs w:val="20"/>
        </w:rPr>
        <w:t>For example, t</w:t>
      </w:r>
      <w:r w:rsidRPr="00695E2D">
        <w:rPr>
          <w:sz w:val="20"/>
          <w:szCs w:val="20"/>
        </w:rPr>
        <w:t xml:space="preserve">o evaluate the impact of the types of intervention UNCDF is supporting on market and policy systems, the guidance emphasizes the importance of using theory-based approaches to measure changes at the system level overall while leaving open – resources permitting - the option for experimental or quasi-experimental evaluation design for more targeted evaluation questions, where it is possible to establish from the outset of an intervention a credible counter-factual control group that can be tracked over time alongside the treatment group. </w:t>
      </w:r>
    </w:p>
    <w:p w14:paraId="63914DF5" w14:textId="77777777" w:rsidR="003A40FF" w:rsidRDefault="003A40FF">
      <w:pPr>
        <w:pStyle w:val="FootnoteText"/>
      </w:pPr>
      <w:r>
        <w:t xml:space="preserve"> </w:t>
      </w:r>
    </w:p>
  </w:footnote>
  <w:footnote w:id="8">
    <w:p w14:paraId="58688FB0" w14:textId="77777777" w:rsidR="003A40FF" w:rsidRDefault="003A40FF" w:rsidP="00311ADD">
      <w:pPr>
        <w:pStyle w:val="FootnoteText"/>
      </w:pPr>
      <w:r>
        <w:rPr>
          <w:rStyle w:val="FootnoteReference"/>
        </w:rPr>
        <w:footnoteRef/>
      </w:r>
      <w:r>
        <w:t xml:space="preserve"> For example, PFIP is currently working with a research firm: Bankable Frontier Associates that is well known for its previous work on financial diaries tracking changes in the behaviour of the recipients of financial inclusion services over time. </w:t>
      </w:r>
    </w:p>
  </w:footnote>
  <w:footnote w:id="9">
    <w:p w14:paraId="174982F1" w14:textId="77777777" w:rsidR="003A40FF" w:rsidRDefault="003A40FF" w:rsidP="0025409C">
      <w:pPr>
        <w:pStyle w:val="FootnoteText"/>
      </w:pPr>
      <w:r>
        <w:rPr>
          <w:rStyle w:val="FootnoteReference"/>
        </w:rPr>
        <w:footnoteRef/>
      </w:r>
      <w:r>
        <w:t xml:space="preserve"> </w:t>
      </w:r>
      <w:r w:rsidRPr="00BC4FD9">
        <w:t>http://www.uncdf.org/article/948/mid-term-evaluation-of-the-making-access-to-finance-more-inclusive-for-poor-people-mafipp-migration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94B"/>
    <w:multiLevelType w:val="hybridMultilevel"/>
    <w:tmpl w:val="FFD8AE82"/>
    <w:lvl w:ilvl="0" w:tplc="21C60A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11E8A"/>
    <w:multiLevelType w:val="hybridMultilevel"/>
    <w:tmpl w:val="CB5E8AD6"/>
    <w:lvl w:ilvl="0" w:tplc="1288641A">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9A14BF"/>
    <w:multiLevelType w:val="hybridMultilevel"/>
    <w:tmpl w:val="B10A71FC"/>
    <w:lvl w:ilvl="0" w:tplc="48AA1854">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A4062"/>
    <w:multiLevelType w:val="hybridMultilevel"/>
    <w:tmpl w:val="799835AA"/>
    <w:lvl w:ilvl="0" w:tplc="9A124EA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52DE7"/>
    <w:multiLevelType w:val="hybridMultilevel"/>
    <w:tmpl w:val="815AE512"/>
    <w:lvl w:ilvl="0" w:tplc="900C928A">
      <w:start w:val="1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548"/>
    <w:rsid w:val="00012AF5"/>
    <w:rsid w:val="00014919"/>
    <w:rsid w:val="000156CF"/>
    <w:rsid w:val="00020A29"/>
    <w:rsid w:val="00024698"/>
    <w:rsid w:val="00024F13"/>
    <w:rsid w:val="00030C6B"/>
    <w:rsid w:val="0003255A"/>
    <w:rsid w:val="0003480C"/>
    <w:rsid w:val="00037ED9"/>
    <w:rsid w:val="000418A7"/>
    <w:rsid w:val="0004316F"/>
    <w:rsid w:val="00045E8B"/>
    <w:rsid w:val="00046902"/>
    <w:rsid w:val="00052BF9"/>
    <w:rsid w:val="00053C59"/>
    <w:rsid w:val="0006060A"/>
    <w:rsid w:val="000646FA"/>
    <w:rsid w:val="000716E3"/>
    <w:rsid w:val="000825DE"/>
    <w:rsid w:val="00085301"/>
    <w:rsid w:val="00085B97"/>
    <w:rsid w:val="000869E9"/>
    <w:rsid w:val="000B0CEB"/>
    <w:rsid w:val="000B178C"/>
    <w:rsid w:val="000B3E35"/>
    <w:rsid w:val="000B5225"/>
    <w:rsid w:val="000C19B8"/>
    <w:rsid w:val="000C317C"/>
    <w:rsid w:val="000C6088"/>
    <w:rsid w:val="000D190B"/>
    <w:rsid w:val="000D5813"/>
    <w:rsid w:val="000D6F38"/>
    <w:rsid w:val="000E4C2C"/>
    <w:rsid w:val="000E52E4"/>
    <w:rsid w:val="000E57C9"/>
    <w:rsid w:val="000E76B6"/>
    <w:rsid w:val="000F3F59"/>
    <w:rsid w:val="000F622C"/>
    <w:rsid w:val="000F6783"/>
    <w:rsid w:val="0010417E"/>
    <w:rsid w:val="00113468"/>
    <w:rsid w:val="00121F82"/>
    <w:rsid w:val="00124B8B"/>
    <w:rsid w:val="00126BC3"/>
    <w:rsid w:val="00133BB2"/>
    <w:rsid w:val="001346E2"/>
    <w:rsid w:val="00136BF5"/>
    <w:rsid w:val="00145664"/>
    <w:rsid w:val="00145B0F"/>
    <w:rsid w:val="00145B8F"/>
    <w:rsid w:val="00146651"/>
    <w:rsid w:val="001558EF"/>
    <w:rsid w:val="00160FAD"/>
    <w:rsid w:val="00163545"/>
    <w:rsid w:val="0016397D"/>
    <w:rsid w:val="001653FB"/>
    <w:rsid w:val="00171B3D"/>
    <w:rsid w:val="001836D2"/>
    <w:rsid w:val="0019481B"/>
    <w:rsid w:val="0019740E"/>
    <w:rsid w:val="00197AF0"/>
    <w:rsid w:val="001A1394"/>
    <w:rsid w:val="001A2F63"/>
    <w:rsid w:val="001A779B"/>
    <w:rsid w:val="001C702A"/>
    <w:rsid w:val="001D1720"/>
    <w:rsid w:val="001D4F66"/>
    <w:rsid w:val="001E717C"/>
    <w:rsid w:val="001F1123"/>
    <w:rsid w:val="001F7745"/>
    <w:rsid w:val="001F7D50"/>
    <w:rsid w:val="00200E4B"/>
    <w:rsid w:val="002025B3"/>
    <w:rsid w:val="002037FF"/>
    <w:rsid w:val="00205575"/>
    <w:rsid w:val="00212673"/>
    <w:rsid w:val="00215797"/>
    <w:rsid w:val="002176A1"/>
    <w:rsid w:val="00217FE2"/>
    <w:rsid w:val="00222ED9"/>
    <w:rsid w:val="00223CF1"/>
    <w:rsid w:val="00224DD3"/>
    <w:rsid w:val="0024000C"/>
    <w:rsid w:val="00245A15"/>
    <w:rsid w:val="002504C5"/>
    <w:rsid w:val="002508F9"/>
    <w:rsid w:val="00250CAA"/>
    <w:rsid w:val="0025297D"/>
    <w:rsid w:val="0025409C"/>
    <w:rsid w:val="002555FE"/>
    <w:rsid w:val="00256A85"/>
    <w:rsid w:val="00262B45"/>
    <w:rsid w:val="00264A92"/>
    <w:rsid w:val="002661FC"/>
    <w:rsid w:val="002720A1"/>
    <w:rsid w:val="0027651B"/>
    <w:rsid w:val="00280E3D"/>
    <w:rsid w:val="0028542A"/>
    <w:rsid w:val="002914D9"/>
    <w:rsid w:val="00296B22"/>
    <w:rsid w:val="002970D2"/>
    <w:rsid w:val="002A1D6D"/>
    <w:rsid w:val="002A3FB0"/>
    <w:rsid w:val="002A4C5A"/>
    <w:rsid w:val="002B4869"/>
    <w:rsid w:val="002C188E"/>
    <w:rsid w:val="002C261C"/>
    <w:rsid w:val="002C37DB"/>
    <w:rsid w:val="002D1E29"/>
    <w:rsid w:val="002D7802"/>
    <w:rsid w:val="002E05AB"/>
    <w:rsid w:val="002E09CF"/>
    <w:rsid w:val="002E174B"/>
    <w:rsid w:val="002F32C3"/>
    <w:rsid w:val="002F34AD"/>
    <w:rsid w:val="00303C25"/>
    <w:rsid w:val="003046BB"/>
    <w:rsid w:val="00311ADD"/>
    <w:rsid w:val="00313FFA"/>
    <w:rsid w:val="003157C9"/>
    <w:rsid w:val="00321624"/>
    <w:rsid w:val="00322960"/>
    <w:rsid w:val="00322E32"/>
    <w:rsid w:val="00324DE7"/>
    <w:rsid w:val="00325249"/>
    <w:rsid w:val="00325B3D"/>
    <w:rsid w:val="003341F5"/>
    <w:rsid w:val="00336707"/>
    <w:rsid w:val="003445ED"/>
    <w:rsid w:val="00350A2C"/>
    <w:rsid w:val="00355B86"/>
    <w:rsid w:val="003653E1"/>
    <w:rsid w:val="00371583"/>
    <w:rsid w:val="0038344C"/>
    <w:rsid w:val="003840E2"/>
    <w:rsid w:val="00387B77"/>
    <w:rsid w:val="003A28B0"/>
    <w:rsid w:val="003A40FF"/>
    <w:rsid w:val="003A627A"/>
    <w:rsid w:val="003B1BC6"/>
    <w:rsid w:val="003B2357"/>
    <w:rsid w:val="003C3428"/>
    <w:rsid w:val="003C3F9F"/>
    <w:rsid w:val="003C6191"/>
    <w:rsid w:val="003D17FA"/>
    <w:rsid w:val="003D2FE0"/>
    <w:rsid w:val="003D409A"/>
    <w:rsid w:val="003E2C8D"/>
    <w:rsid w:val="003E377A"/>
    <w:rsid w:val="003E4FCE"/>
    <w:rsid w:val="003E6EEF"/>
    <w:rsid w:val="003F1218"/>
    <w:rsid w:val="003F2E33"/>
    <w:rsid w:val="003F40E6"/>
    <w:rsid w:val="003F498E"/>
    <w:rsid w:val="00401998"/>
    <w:rsid w:val="00411769"/>
    <w:rsid w:val="004141E0"/>
    <w:rsid w:val="00415E3F"/>
    <w:rsid w:val="00417738"/>
    <w:rsid w:val="00422B74"/>
    <w:rsid w:val="004317F2"/>
    <w:rsid w:val="004372D0"/>
    <w:rsid w:val="004379CA"/>
    <w:rsid w:val="00441F11"/>
    <w:rsid w:val="004436A1"/>
    <w:rsid w:val="004455C6"/>
    <w:rsid w:val="00451E37"/>
    <w:rsid w:val="004540FF"/>
    <w:rsid w:val="00456454"/>
    <w:rsid w:val="004625AC"/>
    <w:rsid w:val="004627D2"/>
    <w:rsid w:val="0046455F"/>
    <w:rsid w:val="00466205"/>
    <w:rsid w:val="0046673E"/>
    <w:rsid w:val="00476E07"/>
    <w:rsid w:val="004822D0"/>
    <w:rsid w:val="004834ED"/>
    <w:rsid w:val="00491729"/>
    <w:rsid w:val="004967DD"/>
    <w:rsid w:val="004A0097"/>
    <w:rsid w:val="004A5BE7"/>
    <w:rsid w:val="004A65AD"/>
    <w:rsid w:val="004A7EE3"/>
    <w:rsid w:val="004B690D"/>
    <w:rsid w:val="004C3169"/>
    <w:rsid w:val="004C4A4A"/>
    <w:rsid w:val="004C7DDD"/>
    <w:rsid w:val="004D76C0"/>
    <w:rsid w:val="004E0D51"/>
    <w:rsid w:val="004E1D16"/>
    <w:rsid w:val="004E22F2"/>
    <w:rsid w:val="004E55AF"/>
    <w:rsid w:val="004E7047"/>
    <w:rsid w:val="00501E0B"/>
    <w:rsid w:val="00501ECF"/>
    <w:rsid w:val="00502164"/>
    <w:rsid w:val="00502E94"/>
    <w:rsid w:val="00506542"/>
    <w:rsid w:val="005160A7"/>
    <w:rsid w:val="00516E0B"/>
    <w:rsid w:val="0051749B"/>
    <w:rsid w:val="0052468B"/>
    <w:rsid w:val="0053676B"/>
    <w:rsid w:val="005546FB"/>
    <w:rsid w:val="00560B3D"/>
    <w:rsid w:val="00561998"/>
    <w:rsid w:val="00561C67"/>
    <w:rsid w:val="00573054"/>
    <w:rsid w:val="00574223"/>
    <w:rsid w:val="00581F3D"/>
    <w:rsid w:val="005847B0"/>
    <w:rsid w:val="0058599B"/>
    <w:rsid w:val="00586EA2"/>
    <w:rsid w:val="005908AF"/>
    <w:rsid w:val="005948EE"/>
    <w:rsid w:val="005A2AAB"/>
    <w:rsid w:val="005A3A8A"/>
    <w:rsid w:val="005B193F"/>
    <w:rsid w:val="005B5DC6"/>
    <w:rsid w:val="005B5E7A"/>
    <w:rsid w:val="005D4A35"/>
    <w:rsid w:val="005E2967"/>
    <w:rsid w:val="005E3846"/>
    <w:rsid w:val="005E7093"/>
    <w:rsid w:val="005E7910"/>
    <w:rsid w:val="005F6930"/>
    <w:rsid w:val="006015E3"/>
    <w:rsid w:val="00603CD0"/>
    <w:rsid w:val="00613EBC"/>
    <w:rsid w:val="00613FD9"/>
    <w:rsid w:val="0062393A"/>
    <w:rsid w:val="006253AB"/>
    <w:rsid w:val="00634A54"/>
    <w:rsid w:val="00636488"/>
    <w:rsid w:val="00640829"/>
    <w:rsid w:val="00641DF2"/>
    <w:rsid w:val="0064550F"/>
    <w:rsid w:val="006516FF"/>
    <w:rsid w:val="00651BB5"/>
    <w:rsid w:val="00674440"/>
    <w:rsid w:val="00682978"/>
    <w:rsid w:val="00683702"/>
    <w:rsid w:val="00684548"/>
    <w:rsid w:val="00685E18"/>
    <w:rsid w:val="006916A0"/>
    <w:rsid w:val="00694A29"/>
    <w:rsid w:val="00695E2D"/>
    <w:rsid w:val="00697661"/>
    <w:rsid w:val="006976E3"/>
    <w:rsid w:val="00697899"/>
    <w:rsid w:val="006A1B3F"/>
    <w:rsid w:val="006A575A"/>
    <w:rsid w:val="006B55C4"/>
    <w:rsid w:val="006C11F4"/>
    <w:rsid w:val="006C4DCB"/>
    <w:rsid w:val="006E081E"/>
    <w:rsid w:val="006E3995"/>
    <w:rsid w:val="006E4BFE"/>
    <w:rsid w:val="006F258C"/>
    <w:rsid w:val="00700AA7"/>
    <w:rsid w:val="00702D0E"/>
    <w:rsid w:val="00710275"/>
    <w:rsid w:val="007125C4"/>
    <w:rsid w:val="007135FD"/>
    <w:rsid w:val="00715388"/>
    <w:rsid w:val="00720A45"/>
    <w:rsid w:val="00730479"/>
    <w:rsid w:val="00731120"/>
    <w:rsid w:val="007354F1"/>
    <w:rsid w:val="00752726"/>
    <w:rsid w:val="00754830"/>
    <w:rsid w:val="00755EF5"/>
    <w:rsid w:val="007703C2"/>
    <w:rsid w:val="00770D28"/>
    <w:rsid w:val="00776DC3"/>
    <w:rsid w:val="00785A94"/>
    <w:rsid w:val="007A02D4"/>
    <w:rsid w:val="007A2DCB"/>
    <w:rsid w:val="007A554B"/>
    <w:rsid w:val="007B3264"/>
    <w:rsid w:val="007B6B11"/>
    <w:rsid w:val="007C100C"/>
    <w:rsid w:val="007D09EE"/>
    <w:rsid w:val="007D693A"/>
    <w:rsid w:val="007F193F"/>
    <w:rsid w:val="007F4E55"/>
    <w:rsid w:val="007F7AB0"/>
    <w:rsid w:val="00803830"/>
    <w:rsid w:val="00806A15"/>
    <w:rsid w:val="00806C5F"/>
    <w:rsid w:val="00810963"/>
    <w:rsid w:val="008138E5"/>
    <w:rsid w:val="00820BBE"/>
    <w:rsid w:val="0082677A"/>
    <w:rsid w:val="008267BE"/>
    <w:rsid w:val="008316D6"/>
    <w:rsid w:val="00833F1C"/>
    <w:rsid w:val="00836AA8"/>
    <w:rsid w:val="00840EEF"/>
    <w:rsid w:val="00841FB3"/>
    <w:rsid w:val="0084735E"/>
    <w:rsid w:val="00855D82"/>
    <w:rsid w:val="00862D68"/>
    <w:rsid w:val="00867378"/>
    <w:rsid w:val="0087209A"/>
    <w:rsid w:val="0087255D"/>
    <w:rsid w:val="008725C0"/>
    <w:rsid w:val="0087553B"/>
    <w:rsid w:val="00876D81"/>
    <w:rsid w:val="008834F9"/>
    <w:rsid w:val="00893764"/>
    <w:rsid w:val="008A3354"/>
    <w:rsid w:val="008A4FA9"/>
    <w:rsid w:val="008A7976"/>
    <w:rsid w:val="008B3E49"/>
    <w:rsid w:val="008C226B"/>
    <w:rsid w:val="008C6977"/>
    <w:rsid w:val="008C6EE3"/>
    <w:rsid w:val="008D5F2B"/>
    <w:rsid w:val="008D6E36"/>
    <w:rsid w:val="008D7449"/>
    <w:rsid w:val="008E00F1"/>
    <w:rsid w:val="008E0D89"/>
    <w:rsid w:val="008E2CB2"/>
    <w:rsid w:val="008F45DC"/>
    <w:rsid w:val="008F45EE"/>
    <w:rsid w:val="008F6147"/>
    <w:rsid w:val="00900B96"/>
    <w:rsid w:val="00901AB7"/>
    <w:rsid w:val="009024E1"/>
    <w:rsid w:val="009040B3"/>
    <w:rsid w:val="00904400"/>
    <w:rsid w:val="00905018"/>
    <w:rsid w:val="00905372"/>
    <w:rsid w:val="00905B07"/>
    <w:rsid w:val="00906F94"/>
    <w:rsid w:val="00927CA5"/>
    <w:rsid w:val="0093095E"/>
    <w:rsid w:val="00932B6D"/>
    <w:rsid w:val="00934559"/>
    <w:rsid w:val="00935377"/>
    <w:rsid w:val="009357B3"/>
    <w:rsid w:val="009365AF"/>
    <w:rsid w:val="00942055"/>
    <w:rsid w:val="009441C1"/>
    <w:rsid w:val="009457FB"/>
    <w:rsid w:val="00954ACB"/>
    <w:rsid w:val="009578DD"/>
    <w:rsid w:val="00965C8C"/>
    <w:rsid w:val="00972754"/>
    <w:rsid w:val="00985AB3"/>
    <w:rsid w:val="009918C1"/>
    <w:rsid w:val="0099242A"/>
    <w:rsid w:val="009951DA"/>
    <w:rsid w:val="00997A88"/>
    <w:rsid w:val="009A4ABC"/>
    <w:rsid w:val="009A5E3B"/>
    <w:rsid w:val="009A76DE"/>
    <w:rsid w:val="009B1E1C"/>
    <w:rsid w:val="009C154F"/>
    <w:rsid w:val="009C157F"/>
    <w:rsid w:val="009C254D"/>
    <w:rsid w:val="009C3D38"/>
    <w:rsid w:val="009C41D0"/>
    <w:rsid w:val="009C4F1F"/>
    <w:rsid w:val="009D0F28"/>
    <w:rsid w:val="009D1190"/>
    <w:rsid w:val="009D4063"/>
    <w:rsid w:val="009E0555"/>
    <w:rsid w:val="009E2090"/>
    <w:rsid w:val="009E27C7"/>
    <w:rsid w:val="009E5426"/>
    <w:rsid w:val="009F3A84"/>
    <w:rsid w:val="009F5C73"/>
    <w:rsid w:val="00A022D2"/>
    <w:rsid w:val="00A0480E"/>
    <w:rsid w:val="00A061BC"/>
    <w:rsid w:val="00A06C07"/>
    <w:rsid w:val="00A15329"/>
    <w:rsid w:val="00A17344"/>
    <w:rsid w:val="00A2270E"/>
    <w:rsid w:val="00A23C92"/>
    <w:rsid w:val="00A25A8B"/>
    <w:rsid w:val="00A26226"/>
    <w:rsid w:val="00A448FF"/>
    <w:rsid w:val="00A47302"/>
    <w:rsid w:val="00A723ED"/>
    <w:rsid w:val="00A87266"/>
    <w:rsid w:val="00AA0294"/>
    <w:rsid w:val="00AA4EBD"/>
    <w:rsid w:val="00AA5CEF"/>
    <w:rsid w:val="00AA73D3"/>
    <w:rsid w:val="00AA749F"/>
    <w:rsid w:val="00AB152D"/>
    <w:rsid w:val="00AB168E"/>
    <w:rsid w:val="00AB3882"/>
    <w:rsid w:val="00AB5668"/>
    <w:rsid w:val="00AC0BF6"/>
    <w:rsid w:val="00AC1CBD"/>
    <w:rsid w:val="00AC3CF5"/>
    <w:rsid w:val="00AD0991"/>
    <w:rsid w:val="00AD1677"/>
    <w:rsid w:val="00AD2319"/>
    <w:rsid w:val="00AD7E2B"/>
    <w:rsid w:val="00AE05FA"/>
    <w:rsid w:val="00AE0721"/>
    <w:rsid w:val="00AE3D6B"/>
    <w:rsid w:val="00AE42DA"/>
    <w:rsid w:val="00AE502C"/>
    <w:rsid w:val="00AE7E0F"/>
    <w:rsid w:val="00AF757E"/>
    <w:rsid w:val="00B01EEA"/>
    <w:rsid w:val="00B15570"/>
    <w:rsid w:val="00B23FCC"/>
    <w:rsid w:val="00B25350"/>
    <w:rsid w:val="00B253AC"/>
    <w:rsid w:val="00B25AED"/>
    <w:rsid w:val="00B34375"/>
    <w:rsid w:val="00B50D9A"/>
    <w:rsid w:val="00B51E05"/>
    <w:rsid w:val="00B57759"/>
    <w:rsid w:val="00B62537"/>
    <w:rsid w:val="00B65D48"/>
    <w:rsid w:val="00B676D6"/>
    <w:rsid w:val="00B71996"/>
    <w:rsid w:val="00B8176A"/>
    <w:rsid w:val="00B863C3"/>
    <w:rsid w:val="00B86A77"/>
    <w:rsid w:val="00B86D56"/>
    <w:rsid w:val="00B87B4C"/>
    <w:rsid w:val="00B91201"/>
    <w:rsid w:val="00B937BC"/>
    <w:rsid w:val="00BA142D"/>
    <w:rsid w:val="00BA665C"/>
    <w:rsid w:val="00BB5221"/>
    <w:rsid w:val="00BB60A5"/>
    <w:rsid w:val="00BC3C1F"/>
    <w:rsid w:val="00BC4FD9"/>
    <w:rsid w:val="00BC79BA"/>
    <w:rsid w:val="00BD1EFC"/>
    <w:rsid w:val="00BD2BCC"/>
    <w:rsid w:val="00BD3CB4"/>
    <w:rsid w:val="00BD619F"/>
    <w:rsid w:val="00BF056A"/>
    <w:rsid w:val="00C041C7"/>
    <w:rsid w:val="00C10824"/>
    <w:rsid w:val="00C12B37"/>
    <w:rsid w:val="00C159FD"/>
    <w:rsid w:val="00C426A4"/>
    <w:rsid w:val="00C459DF"/>
    <w:rsid w:val="00C57442"/>
    <w:rsid w:val="00C66DE7"/>
    <w:rsid w:val="00C755AC"/>
    <w:rsid w:val="00C779C8"/>
    <w:rsid w:val="00C81C63"/>
    <w:rsid w:val="00C84D80"/>
    <w:rsid w:val="00CA73D3"/>
    <w:rsid w:val="00CA7BD3"/>
    <w:rsid w:val="00CB112B"/>
    <w:rsid w:val="00CC0038"/>
    <w:rsid w:val="00CC06BD"/>
    <w:rsid w:val="00CC0924"/>
    <w:rsid w:val="00CD27F0"/>
    <w:rsid w:val="00CD4F71"/>
    <w:rsid w:val="00CD7B9D"/>
    <w:rsid w:val="00CE3C4A"/>
    <w:rsid w:val="00CF32F4"/>
    <w:rsid w:val="00CF596F"/>
    <w:rsid w:val="00D055D0"/>
    <w:rsid w:val="00D06269"/>
    <w:rsid w:val="00D07FD2"/>
    <w:rsid w:val="00D14AA6"/>
    <w:rsid w:val="00D153DD"/>
    <w:rsid w:val="00D245DB"/>
    <w:rsid w:val="00D2466E"/>
    <w:rsid w:val="00D27092"/>
    <w:rsid w:val="00D2758D"/>
    <w:rsid w:val="00D275A0"/>
    <w:rsid w:val="00D41751"/>
    <w:rsid w:val="00D41BFA"/>
    <w:rsid w:val="00D67D49"/>
    <w:rsid w:val="00D71827"/>
    <w:rsid w:val="00D72FF6"/>
    <w:rsid w:val="00D757D8"/>
    <w:rsid w:val="00D75A61"/>
    <w:rsid w:val="00D75ADE"/>
    <w:rsid w:val="00D8588D"/>
    <w:rsid w:val="00D90DE3"/>
    <w:rsid w:val="00D96548"/>
    <w:rsid w:val="00D97B24"/>
    <w:rsid w:val="00DA535B"/>
    <w:rsid w:val="00DA6972"/>
    <w:rsid w:val="00DA7709"/>
    <w:rsid w:val="00DB1368"/>
    <w:rsid w:val="00DB3F0B"/>
    <w:rsid w:val="00DB5690"/>
    <w:rsid w:val="00DB5D68"/>
    <w:rsid w:val="00DC6BD7"/>
    <w:rsid w:val="00DD03F1"/>
    <w:rsid w:val="00DE05B5"/>
    <w:rsid w:val="00DE414E"/>
    <w:rsid w:val="00DE69A3"/>
    <w:rsid w:val="00DF28F2"/>
    <w:rsid w:val="00DF6690"/>
    <w:rsid w:val="00DF6757"/>
    <w:rsid w:val="00E078ED"/>
    <w:rsid w:val="00E13FB7"/>
    <w:rsid w:val="00E146BF"/>
    <w:rsid w:val="00E16CCC"/>
    <w:rsid w:val="00E1758E"/>
    <w:rsid w:val="00E36B83"/>
    <w:rsid w:val="00E4060B"/>
    <w:rsid w:val="00E4468D"/>
    <w:rsid w:val="00E45016"/>
    <w:rsid w:val="00E458C4"/>
    <w:rsid w:val="00E46E30"/>
    <w:rsid w:val="00E474BC"/>
    <w:rsid w:val="00E51B6A"/>
    <w:rsid w:val="00E60C69"/>
    <w:rsid w:val="00E7795C"/>
    <w:rsid w:val="00E81B22"/>
    <w:rsid w:val="00E81DD6"/>
    <w:rsid w:val="00E86416"/>
    <w:rsid w:val="00EA0F58"/>
    <w:rsid w:val="00EA1D44"/>
    <w:rsid w:val="00EB166E"/>
    <w:rsid w:val="00EB3377"/>
    <w:rsid w:val="00EB7A31"/>
    <w:rsid w:val="00EC2442"/>
    <w:rsid w:val="00EC3EDA"/>
    <w:rsid w:val="00EC6C08"/>
    <w:rsid w:val="00ED4E78"/>
    <w:rsid w:val="00EE3729"/>
    <w:rsid w:val="00EE7083"/>
    <w:rsid w:val="00EF012A"/>
    <w:rsid w:val="00EF6776"/>
    <w:rsid w:val="00EF6C32"/>
    <w:rsid w:val="00F01C35"/>
    <w:rsid w:val="00F05DB4"/>
    <w:rsid w:val="00F15401"/>
    <w:rsid w:val="00F22726"/>
    <w:rsid w:val="00F26608"/>
    <w:rsid w:val="00F46953"/>
    <w:rsid w:val="00F50BF5"/>
    <w:rsid w:val="00F52527"/>
    <w:rsid w:val="00F57AD9"/>
    <w:rsid w:val="00F609E7"/>
    <w:rsid w:val="00F64EB3"/>
    <w:rsid w:val="00F71CDD"/>
    <w:rsid w:val="00F7344F"/>
    <w:rsid w:val="00F74B11"/>
    <w:rsid w:val="00F8143B"/>
    <w:rsid w:val="00F8646D"/>
    <w:rsid w:val="00F86AAF"/>
    <w:rsid w:val="00F94863"/>
    <w:rsid w:val="00FA4C5C"/>
    <w:rsid w:val="00FA7485"/>
    <w:rsid w:val="00FD315E"/>
    <w:rsid w:val="00FF230B"/>
    <w:rsid w:val="00FF7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94C1"/>
  <w15:docId w15:val="{1DC4D0D9-7C15-40F2-8249-2B2F557B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1F7745"/>
    <w:pPr>
      <w:ind w:left="720"/>
      <w:contextualSpacing/>
    </w:p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link w:val="ListParagraph"/>
    <w:uiPriority w:val="34"/>
    <w:qFormat/>
    <w:rsid w:val="00D71827"/>
  </w:style>
  <w:style w:type="paragraph" w:styleId="BalloonText">
    <w:name w:val="Balloon Text"/>
    <w:basedOn w:val="Normal"/>
    <w:link w:val="BalloonTextChar"/>
    <w:uiPriority w:val="99"/>
    <w:semiHidden/>
    <w:unhideWhenUsed/>
    <w:rsid w:val="00516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E0B"/>
    <w:rPr>
      <w:rFonts w:ascii="Segoe UI" w:hAnsi="Segoe UI" w:cs="Segoe UI"/>
      <w:sz w:val="18"/>
      <w:szCs w:val="18"/>
    </w:rPr>
  </w:style>
  <w:style w:type="paragraph" w:styleId="FootnoteText">
    <w:name w:val="footnote text"/>
    <w:basedOn w:val="Normal"/>
    <w:link w:val="FootnoteTextChar"/>
    <w:uiPriority w:val="99"/>
    <w:semiHidden/>
    <w:unhideWhenUsed/>
    <w:rsid w:val="00F46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953"/>
    <w:rPr>
      <w:sz w:val="20"/>
      <w:szCs w:val="20"/>
    </w:rPr>
  </w:style>
  <w:style w:type="character" w:styleId="FootnoteReference">
    <w:name w:val="footnote reference"/>
    <w:basedOn w:val="DefaultParagraphFont"/>
    <w:uiPriority w:val="99"/>
    <w:semiHidden/>
    <w:unhideWhenUsed/>
    <w:rsid w:val="00F46953"/>
    <w:rPr>
      <w:vertAlign w:val="superscript"/>
    </w:rPr>
  </w:style>
  <w:style w:type="paragraph" w:styleId="Header">
    <w:name w:val="header"/>
    <w:basedOn w:val="Normal"/>
    <w:link w:val="HeaderChar"/>
    <w:uiPriority w:val="99"/>
    <w:unhideWhenUsed/>
    <w:rsid w:val="00034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80C"/>
  </w:style>
  <w:style w:type="paragraph" w:styleId="Footer">
    <w:name w:val="footer"/>
    <w:basedOn w:val="Normal"/>
    <w:link w:val="FooterChar"/>
    <w:uiPriority w:val="99"/>
    <w:unhideWhenUsed/>
    <w:rsid w:val="00034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80C"/>
  </w:style>
  <w:style w:type="character" w:styleId="CommentReference">
    <w:name w:val="annotation reference"/>
    <w:basedOn w:val="DefaultParagraphFont"/>
    <w:uiPriority w:val="99"/>
    <w:semiHidden/>
    <w:unhideWhenUsed/>
    <w:rsid w:val="00160FAD"/>
    <w:rPr>
      <w:sz w:val="16"/>
      <w:szCs w:val="16"/>
    </w:rPr>
  </w:style>
  <w:style w:type="paragraph" w:styleId="CommentText">
    <w:name w:val="annotation text"/>
    <w:basedOn w:val="Normal"/>
    <w:link w:val="CommentTextChar"/>
    <w:uiPriority w:val="99"/>
    <w:semiHidden/>
    <w:unhideWhenUsed/>
    <w:rsid w:val="00160FAD"/>
    <w:pPr>
      <w:spacing w:line="240" w:lineRule="auto"/>
    </w:pPr>
    <w:rPr>
      <w:sz w:val="20"/>
      <w:szCs w:val="20"/>
    </w:rPr>
  </w:style>
  <w:style w:type="character" w:customStyle="1" w:styleId="CommentTextChar">
    <w:name w:val="Comment Text Char"/>
    <w:basedOn w:val="DefaultParagraphFont"/>
    <w:link w:val="CommentText"/>
    <w:uiPriority w:val="99"/>
    <w:semiHidden/>
    <w:rsid w:val="00160FAD"/>
    <w:rPr>
      <w:sz w:val="20"/>
      <w:szCs w:val="20"/>
    </w:rPr>
  </w:style>
  <w:style w:type="paragraph" w:styleId="CommentSubject">
    <w:name w:val="annotation subject"/>
    <w:basedOn w:val="CommentText"/>
    <w:next w:val="CommentText"/>
    <w:link w:val="CommentSubjectChar"/>
    <w:uiPriority w:val="99"/>
    <w:semiHidden/>
    <w:unhideWhenUsed/>
    <w:rsid w:val="00160FAD"/>
    <w:rPr>
      <w:b/>
      <w:bCs/>
    </w:rPr>
  </w:style>
  <w:style w:type="character" w:customStyle="1" w:styleId="CommentSubjectChar">
    <w:name w:val="Comment Subject Char"/>
    <w:basedOn w:val="CommentTextChar"/>
    <w:link w:val="CommentSubject"/>
    <w:uiPriority w:val="99"/>
    <w:semiHidden/>
    <w:rsid w:val="00160FAD"/>
    <w:rPr>
      <w:b/>
      <w:bCs/>
      <w:sz w:val="20"/>
      <w:szCs w:val="20"/>
    </w:rPr>
  </w:style>
  <w:style w:type="character" w:styleId="Hyperlink">
    <w:name w:val="Hyperlink"/>
    <w:basedOn w:val="DefaultParagraphFont"/>
    <w:uiPriority w:val="99"/>
    <w:unhideWhenUsed/>
    <w:rsid w:val="00641DF2"/>
    <w:rPr>
      <w:color w:val="0563C1" w:themeColor="hyperlink"/>
      <w:u w:val="single"/>
    </w:rPr>
  </w:style>
  <w:style w:type="paragraph" w:styleId="Revision">
    <w:name w:val="Revision"/>
    <w:hidden/>
    <w:uiPriority w:val="99"/>
    <w:semiHidden/>
    <w:rsid w:val="007F7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899966">
      <w:bodyDiv w:val="1"/>
      <w:marLeft w:val="0"/>
      <w:marRight w:val="0"/>
      <w:marTop w:val="0"/>
      <w:marBottom w:val="0"/>
      <w:divBdr>
        <w:top w:val="none" w:sz="0" w:space="0" w:color="auto"/>
        <w:left w:val="none" w:sz="0" w:space="0" w:color="auto"/>
        <w:bottom w:val="none" w:sz="0" w:space="0" w:color="auto"/>
        <w:right w:val="none" w:sz="0" w:space="0" w:color="auto"/>
      </w:divBdr>
    </w:div>
    <w:div w:id="1523854778">
      <w:bodyDiv w:val="1"/>
      <w:marLeft w:val="0"/>
      <w:marRight w:val="0"/>
      <w:marTop w:val="0"/>
      <w:marBottom w:val="0"/>
      <w:divBdr>
        <w:top w:val="none" w:sz="0" w:space="0" w:color="auto"/>
        <w:left w:val="none" w:sz="0" w:space="0" w:color="auto"/>
        <w:bottom w:val="none" w:sz="0" w:space="0" w:color="auto"/>
        <w:right w:val="none" w:sz="0" w:space="0" w:color="auto"/>
      </w:divBdr>
    </w:div>
    <w:div w:id="156270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eb.undp.org/evaluation/policy.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038F-2B11-44B9-9880-4AEA066B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Fyfe</dc:creator>
  <cp:lastModifiedBy>Svetlana Iazykova</cp:lastModifiedBy>
  <cp:revision>2</cp:revision>
  <cp:lastPrinted>2017-12-06T20:31:00Z</cp:lastPrinted>
  <dcterms:created xsi:type="dcterms:W3CDTF">2017-12-07T15:38:00Z</dcterms:created>
  <dcterms:modified xsi:type="dcterms:W3CDTF">2017-12-07T15:38:00Z</dcterms:modified>
</cp:coreProperties>
</file>