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0A89" w14:textId="13E7B274" w:rsidR="00873BD2" w:rsidRPr="0083254F" w:rsidRDefault="00C656CF" w:rsidP="00C656CF">
      <w:pPr>
        <w:spacing w:after="0" w:line="240" w:lineRule="auto"/>
        <w:rPr>
          <w:b/>
          <w:sz w:val="30"/>
          <w:szCs w:val="30"/>
          <w:lang w:val="en-GB"/>
        </w:rPr>
      </w:pPr>
      <w:bookmarkStart w:id="0" w:name="_GoBack"/>
      <w:bookmarkEnd w:id="0"/>
      <w:r w:rsidRPr="0083254F">
        <w:rPr>
          <w:b/>
          <w:sz w:val="30"/>
          <w:szCs w:val="30"/>
          <w:lang w:val="en-GB"/>
        </w:rPr>
        <w:t>Annex</w:t>
      </w:r>
      <w:r w:rsidR="008C5911" w:rsidRPr="0083254F">
        <w:rPr>
          <w:b/>
          <w:sz w:val="30"/>
          <w:szCs w:val="30"/>
          <w:lang w:val="en-GB"/>
        </w:rPr>
        <w:t xml:space="preserve"> 1</w:t>
      </w:r>
      <w:r w:rsidRPr="0083254F">
        <w:rPr>
          <w:b/>
          <w:sz w:val="30"/>
          <w:szCs w:val="30"/>
          <w:lang w:val="en-GB"/>
        </w:rPr>
        <w:t xml:space="preserve">: UNCDF </w:t>
      </w:r>
      <w:r w:rsidR="000D4B12">
        <w:rPr>
          <w:b/>
          <w:sz w:val="30"/>
          <w:szCs w:val="30"/>
          <w:lang w:val="en-GB"/>
        </w:rPr>
        <w:t>Strategic Framework 2018-2021: Integrated Results and Resources Matrix (</w:t>
      </w:r>
      <w:r w:rsidRPr="0083254F">
        <w:rPr>
          <w:b/>
          <w:sz w:val="30"/>
          <w:szCs w:val="30"/>
          <w:lang w:val="en-GB"/>
        </w:rPr>
        <w:t>IRRM</w:t>
      </w:r>
      <w:r w:rsidR="000D4B12">
        <w:rPr>
          <w:b/>
          <w:sz w:val="30"/>
          <w:szCs w:val="30"/>
          <w:lang w:val="en-GB"/>
        </w:rPr>
        <w:t>)</w:t>
      </w:r>
      <w:r w:rsidRPr="0083254F">
        <w:rPr>
          <w:b/>
          <w:sz w:val="30"/>
          <w:szCs w:val="30"/>
          <w:lang w:val="en-GB"/>
        </w:rPr>
        <w:t xml:space="preserve"> </w:t>
      </w:r>
    </w:p>
    <w:p w14:paraId="604420FB" w14:textId="77777777" w:rsidR="00C656CF" w:rsidRPr="0083254F" w:rsidRDefault="00C656CF" w:rsidP="008C5911">
      <w:pPr>
        <w:spacing w:after="0" w:line="240" w:lineRule="auto"/>
        <w:rPr>
          <w:lang w:val="en-GB"/>
        </w:rPr>
      </w:pPr>
    </w:p>
    <w:p w14:paraId="30B216B9" w14:textId="49FFF79F" w:rsidR="008C5911" w:rsidRPr="0083254F" w:rsidRDefault="008C5911" w:rsidP="00B56D94">
      <w:pPr>
        <w:spacing w:after="100"/>
        <w:jc w:val="both"/>
        <w:rPr>
          <w:lang w:val="en-GB"/>
        </w:rPr>
      </w:pPr>
      <w:r w:rsidRPr="0083254F">
        <w:rPr>
          <w:lang w:val="en-GB"/>
        </w:rPr>
        <w:t xml:space="preserve">The Integrated Results and Resources Matrix (IRRM) translates the UNCDF Strategic Framework 2018-2021 into results that allow UNCDF and stakeholders to monitor and assess </w:t>
      </w:r>
      <w:r w:rsidR="00B37F55">
        <w:rPr>
          <w:lang w:val="en-GB"/>
        </w:rPr>
        <w:t>its</w:t>
      </w:r>
      <w:r w:rsidR="00B37F55" w:rsidRPr="0083254F">
        <w:rPr>
          <w:lang w:val="en-GB"/>
        </w:rPr>
        <w:t xml:space="preserve"> </w:t>
      </w:r>
      <w:r w:rsidRPr="0083254F">
        <w:rPr>
          <w:lang w:val="en-GB"/>
        </w:rPr>
        <w:t>key achievements, draw lessons</w:t>
      </w:r>
      <w:r w:rsidR="00B37F55">
        <w:rPr>
          <w:lang w:val="en-GB"/>
        </w:rPr>
        <w:t>,</w:t>
      </w:r>
      <w:r w:rsidRPr="0083254F">
        <w:rPr>
          <w:lang w:val="en-GB"/>
        </w:rPr>
        <w:t xml:space="preserve"> and hold the organization accountable </w:t>
      </w:r>
      <w:r w:rsidR="00B37F55">
        <w:rPr>
          <w:lang w:val="en-GB"/>
        </w:rPr>
        <w:t>for</w:t>
      </w:r>
      <w:r w:rsidR="00B37F55" w:rsidRPr="0083254F">
        <w:rPr>
          <w:lang w:val="en-GB"/>
        </w:rPr>
        <w:t xml:space="preserve"> </w:t>
      </w:r>
      <w:r w:rsidRPr="0083254F">
        <w:rPr>
          <w:lang w:val="en-GB"/>
        </w:rPr>
        <w:t xml:space="preserve">its development contributions. The </w:t>
      </w:r>
      <w:r w:rsidR="00B37F55">
        <w:rPr>
          <w:lang w:val="en-GB"/>
        </w:rPr>
        <w:t>IRRM</w:t>
      </w:r>
      <w:r w:rsidR="00B37F55" w:rsidRPr="0083254F">
        <w:rPr>
          <w:lang w:val="en-GB"/>
        </w:rPr>
        <w:t xml:space="preserve"> </w:t>
      </w:r>
      <w:r w:rsidRPr="0083254F">
        <w:rPr>
          <w:lang w:val="en-GB"/>
        </w:rPr>
        <w:t>is part of UNCDF’s results-based management system</w:t>
      </w:r>
      <w:r w:rsidR="00B37F55">
        <w:rPr>
          <w:lang w:val="en-GB"/>
        </w:rPr>
        <w:t>, which also</w:t>
      </w:r>
      <w:r w:rsidRPr="0083254F">
        <w:rPr>
          <w:lang w:val="en-GB"/>
        </w:rPr>
        <w:t xml:space="preserve"> includ</w:t>
      </w:r>
      <w:r w:rsidR="00B37F55">
        <w:rPr>
          <w:lang w:val="en-GB"/>
        </w:rPr>
        <w:t>es</w:t>
      </w:r>
      <w:r w:rsidRPr="0083254F">
        <w:rPr>
          <w:lang w:val="en-GB"/>
        </w:rPr>
        <w:t xml:space="preserve"> </w:t>
      </w:r>
      <w:r w:rsidR="00B37F55">
        <w:rPr>
          <w:lang w:val="en-GB"/>
        </w:rPr>
        <w:t xml:space="preserve">conducting </w:t>
      </w:r>
      <w:r w:rsidRPr="0083254F">
        <w:rPr>
          <w:lang w:val="en-GB"/>
        </w:rPr>
        <w:t>regular internal thematic assessments</w:t>
      </w:r>
      <w:r w:rsidR="00B37F55">
        <w:rPr>
          <w:lang w:val="en-GB"/>
        </w:rPr>
        <w:t>;</w:t>
      </w:r>
      <w:r w:rsidRPr="0083254F">
        <w:rPr>
          <w:lang w:val="en-GB"/>
        </w:rPr>
        <w:t xml:space="preserve"> programme and financial </w:t>
      </w:r>
      <w:r w:rsidR="00770DF3" w:rsidRPr="0083254F">
        <w:rPr>
          <w:lang w:val="en-GB"/>
        </w:rPr>
        <w:t>reviews;</w:t>
      </w:r>
      <w:r w:rsidRPr="0083254F">
        <w:rPr>
          <w:lang w:val="en-GB"/>
        </w:rPr>
        <w:t xml:space="preserve"> case studies</w:t>
      </w:r>
      <w:r w:rsidR="00B37F55">
        <w:rPr>
          <w:lang w:val="en-GB"/>
        </w:rPr>
        <w:t>;</w:t>
      </w:r>
      <w:r w:rsidRPr="0083254F">
        <w:rPr>
          <w:lang w:val="en-GB"/>
        </w:rPr>
        <w:t xml:space="preserve"> and external evaluations</w:t>
      </w:r>
      <w:r w:rsidR="00B37F55">
        <w:rPr>
          <w:lang w:val="en-GB"/>
        </w:rPr>
        <w:t>. Together, the results-based management system</w:t>
      </w:r>
      <w:r w:rsidRPr="0083254F">
        <w:rPr>
          <w:lang w:val="en-GB"/>
        </w:rPr>
        <w:t xml:space="preserve"> </w:t>
      </w:r>
      <w:r w:rsidR="00B37F55">
        <w:rPr>
          <w:lang w:val="en-GB"/>
        </w:rPr>
        <w:t>supports</w:t>
      </w:r>
      <w:r w:rsidR="00B37F55" w:rsidRPr="0083254F">
        <w:rPr>
          <w:lang w:val="en-GB"/>
        </w:rPr>
        <w:t xml:space="preserve"> </w:t>
      </w:r>
      <w:r w:rsidRPr="0083254F">
        <w:rPr>
          <w:lang w:val="en-GB"/>
        </w:rPr>
        <w:t xml:space="preserve">informed, evidence-based </w:t>
      </w:r>
      <w:r w:rsidR="00B37F55">
        <w:rPr>
          <w:lang w:val="en-GB"/>
        </w:rPr>
        <w:t xml:space="preserve">decision-making and </w:t>
      </w:r>
      <w:r w:rsidRPr="0083254F">
        <w:rPr>
          <w:lang w:val="en-GB"/>
        </w:rPr>
        <w:t xml:space="preserve">management of the full range of UNCDF’s interventions. </w:t>
      </w:r>
    </w:p>
    <w:p w14:paraId="1F086706" w14:textId="70E03569" w:rsidR="00FA5E9F" w:rsidRPr="00074985" w:rsidRDefault="008C5911" w:rsidP="00B56D94">
      <w:pPr>
        <w:spacing w:after="100" w:line="240" w:lineRule="auto"/>
        <w:jc w:val="both"/>
        <w:rPr>
          <w:lang w:val="en-GB"/>
        </w:rPr>
      </w:pPr>
      <w:r w:rsidRPr="00FA5E9F">
        <w:rPr>
          <w:lang w:val="en-GB"/>
        </w:rPr>
        <w:t xml:space="preserve">The IRRM follows the </w:t>
      </w:r>
      <w:r w:rsidR="006B43BD" w:rsidRPr="00FA5E9F">
        <w:rPr>
          <w:lang w:val="en-GB"/>
        </w:rPr>
        <w:t>theory of change</w:t>
      </w:r>
      <w:r w:rsidRPr="00FA5E9F">
        <w:rPr>
          <w:lang w:val="en-GB"/>
        </w:rPr>
        <w:t xml:space="preserve"> proposed </w:t>
      </w:r>
      <w:r w:rsidR="00B37F55">
        <w:rPr>
          <w:lang w:val="en-GB"/>
        </w:rPr>
        <w:t>in</w:t>
      </w:r>
      <w:r w:rsidR="00B37F55" w:rsidRPr="00FA5E9F">
        <w:rPr>
          <w:lang w:val="en-GB"/>
        </w:rPr>
        <w:t xml:space="preserve"> </w:t>
      </w:r>
      <w:r w:rsidRPr="00FA5E9F">
        <w:rPr>
          <w:lang w:val="en-GB"/>
        </w:rPr>
        <w:t>the Strategic Framework</w:t>
      </w:r>
      <w:r w:rsidR="00B37F55">
        <w:rPr>
          <w:lang w:val="en-GB"/>
        </w:rPr>
        <w:t>,</w:t>
      </w:r>
      <w:r w:rsidRPr="00FA5E9F">
        <w:rPr>
          <w:lang w:val="en-GB"/>
        </w:rPr>
        <w:t xml:space="preserve"> with a </w:t>
      </w:r>
      <w:r w:rsidR="006B43BD" w:rsidRPr="00FA5E9F">
        <w:rPr>
          <w:lang w:val="en-GB"/>
        </w:rPr>
        <w:t>three-tier</w:t>
      </w:r>
      <w:r w:rsidRPr="00FA5E9F">
        <w:rPr>
          <w:lang w:val="en-GB"/>
        </w:rPr>
        <w:t xml:space="preserve"> results structure – </w:t>
      </w:r>
      <w:r w:rsidR="0083254F" w:rsidRPr="00FA5E9F">
        <w:rPr>
          <w:lang w:val="en-GB"/>
        </w:rPr>
        <w:t xml:space="preserve">1) </w:t>
      </w:r>
      <w:r w:rsidRPr="00FA5E9F">
        <w:rPr>
          <w:lang w:val="en-GB"/>
        </w:rPr>
        <w:t>impact</w:t>
      </w:r>
      <w:r w:rsidR="0083254F" w:rsidRPr="00FA5E9F">
        <w:rPr>
          <w:lang w:val="en-GB"/>
        </w:rPr>
        <w:t>; 2)</w:t>
      </w:r>
      <w:r w:rsidRPr="00FA5E9F">
        <w:rPr>
          <w:lang w:val="en-GB"/>
        </w:rPr>
        <w:t xml:space="preserve"> outcome</w:t>
      </w:r>
      <w:r w:rsidR="0083254F" w:rsidRPr="00FA5E9F">
        <w:rPr>
          <w:lang w:val="en-GB"/>
        </w:rPr>
        <w:t>;</w:t>
      </w:r>
      <w:r w:rsidRPr="00FA5E9F">
        <w:rPr>
          <w:lang w:val="en-GB"/>
        </w:rPr>
        <w:t xml:space="preserve"> </w:t>
      </w:r>
      <w:r w:rsidR="00B37F55">
        <w:rPr>
          <w:lang w:val="en-GB"/>
        </w:rPr>
        <w:t xml:space="preserve">and </w:t>
      </w:r>
      <w:r w:rsidR="0083254F" w:rsidRPr="00FA5E9F">
        <w:rPr>
          <w:lang w:val="en-GB"/>
        </w:rPr>
        <w:t xml:space="preserve">3) </w:t>
      </w:r>
      <w:r w:rsidR="00770DF3" w:rsidRPr="00FA5E9F">
        <w:rPr>
          <w:lang w:val="en-GB"/>
        </w:rPr>
        <w:t>output</w:t>
      </w:r>
      <w:r w:rsidR="00770DF3">
        <w:rPr>
          <w:lang w:val="en-GB"/>
        </w:rPr>
        <w:t>s</w:t>
      </w:r>
      <w:r w:rsidR="00770DF3" w:rsidRPr="00FA5E9F">
        <w:rPr>
          <w:lang w:val="en-GB"/>
        </w:rPr>
        <w:t>.</w:t>
      </w:r>
      <w:r w:rsidR="00B37F55">
        <w:rPr>
          <w:lang w:val="en-GB"/>
        </w:rPr>
        <w:t xml:space="preserve"> It also presents</w:t>
      </w:r>
      <w:r w:rsidRPr="00FA5E9F">
        <w:rPr>
          <w:lang w:val="en-GB"/>
        </w:rPr>
        <w:t xml:space="preserve"> </w:t>
      </w:r>
      <w:r w:rsidR="0083254F" w:rsidRPr="00FA5E9F">
        <w:rPr>
          <w:lang w:val="en-GB"/>
        </w:rPr>
        <w:t xml:space="preserve">indicators on institutional effectiveness centred </w:t>
      </w:r>
      <w:r w:rsidR="00FA5E9F" w:rsidRPr="00FA5E9F">
        <w:rPr>
          <w:lang w:val="en-GB"/>
        </w:rPr>
        <w:t xml:space="preserve">on UNCDF’s 1) financing model and capital resources; 2) </w:t>
      </w:r>
      <w:r w:rsidR="00B37F55">
        <w:rPr>
          <w:lang w:val="en-GB"/>
        </w:rPr>
        <w:t>partnerships</w:t>
      </w:r>
      <w:r w:rsidR="00FA5E9F" w:rsidRPr="00FA5E9F">
        <w:rPr>
          <w:lang w:val="en-GB"/>
        </w:rPr>
        <w:t xml:space="preserve"> with public and private </w:t>
      </w:r>
      <w:r w:rsidR="00B37F55">
        <w:rPr>
          <w:lang w:val="en-GB"/>
        </w:rPr>
        <w:t>stakeholders</w:t>
      </w:r>
      <w:r w:rsidR="00FA5E9F" w:rsidRPr="00F06B13">
        <w:rPr>
          <w:lang w:val="en-GB"/>
        </w:rPr>
        <w:t xml:space="preserve">; 3) management; 4) people, and </w:t>
      </w:r>
      <w:r w:rsidR="00B37F55">
        <w:rPr>
          <w:lang w:val="en-GB"/>
        </w:rPr>
        <w:t xml:space="preserve">5) </w:t>
      </w:r>
      <w:r w:rsidR="00FA5E9F" w:rsidRPr="00F06B13">
        <w:rPr>
          <w:lang w:val="en-GB"/>
        </w:rPr>
        <w:t>knowledge, communications</w:t>
      </w:r>
      <w:r w:rsidR="00B37F55">
        <w:rPr>
          <w:lang w:val="en-GB"/>
        </w:rPr>
        <w:t>,</w:t>
      </w:r>
      <w:r w:rsidR="00FA5E9F" w:rsidRPr="00074985">
        <w:rPr>
          <w:lang w:val="en-GB"/>
        </w:rPr>
        <w:t xml:space="preserve"> and advocacy. </w:t>
      </w:r>
    </w:p>
    <w:p w14:paraId="6239271E" w14:textId="6A74D2E3" w:rsidR="00FA5E9F" w:rsidRPr="00074985" w:rsidRDefault="00FA5E9F" w:rsidP="00B56D94">
      <w:pPr>
        <w:spacing w:after="100" w:line="240" w:lineRule="auto"/>
        <w:jc w:val="both"/>
        <w:rPr>
          <w:lang w:val="en-GB"/>
        </w:rPr>
      </w:pPr>
      <w:r w:rsidRPr="00074985">
        <w:rPr>
          <w:lang w:val="en-GB"/>
        </w:rPr>
        <w:t>UNCDF commissioned an external review of its results-based measurement system</w:t>
      </w:r>
      <w:r w:rsidR="00B37F55">
        <w:rPr>
          <w:lang w:val="en-GB"/>
        </w:rPr>
        <w:t>,</w:t>
      </w:r>
      <w:r w:rsidRPr="00074985">
        <w:rPr>
          <w:lang w:val="en-GB"/>
        </w:rPr>
        <w:t xml:space="preserve"> financed by UNDP’s Independent Evaluation Office (IEO) in 2017. In general, the review found the IRRM 2014-2017 to be well aligned with the Strategic Framework and for it to be a cost-effective system. Gender equality and women’s empowerment were found to be well embedded in the IRRM following its update in 2016, but with room for further improvement. At the same time, the review also presented some technical recommendations for improvement</w:t>
      </w:r>
      <w:r w:rsidR="00B37F55">
        <w:rPr>
          <w:lang w:val="en-GB"/>
        </w:rPr>
        <w:t xml:space="preserve">; </w:t>
      </w:r>
      <w:r w:rsidR="00834477">
        <w:rPr>
          <w:lang w:val="en-GB"/>
        </w:rPr>
        <w:t>these have</w:t>
      </w:r>
      <w:r w:rsidRPr="00074985">
        <w:rPr>
          <w:lang w:val="en-GB"/>
        </w:rPr>
        <w:t xml:space="preserve"> been addressed </w:t>
      </w:r>
      <w:r w:rsidR="00B37F55">
        <w:rPr>
          <w:lang w:val="en-GB"/>
        </w:rPr>
        <w:t>in</w:t>
      </w:r>
      <w:r w:rsidRPr="00074985">
        <w:rPr>
          <w:lang w:val="en-GB"/>
        </w:rPr>
        <w:t xml:space="preserve"> the current IRRM as follows: </w:t>
      </w:r>
    </w:p>
    <w:p w14:paraId="71B72736" w14:textId="2101BC24" w:rsidR="00FA5E9F" w:rsidRPr="00543541" w:rsidRDefault="00FA5E9F" w:rsidP="00B56D94">
      <w:pPr>
        <w:pStyle w:val="ListParagraph"/>
        <w:numPr>
          <w:ilvl w:val="0"/>
          <w:numId w:val="9"/>
        </w:numPr>
        <w:spacing w:after="100" w:line="240" w:lineRule="auto"/>
        <w:contextualSpacing w:val="0"/>
        <w:jc w:val="both"/>
        <w:rPr>
          <w:lang w:val="en-GB"/>
        </w:rPr>
      </w:pPr>
      <w:r w:rsidRPr="00074985">
        <w:rPr>
          <w:lang w:val="en-GB"/>
        </w:rPr>
        <w:t xml:space="preserve">Reduce complexity: UNCDF has reduced the levels of results and number of indicators from 16 levels (3 outcomes, 6 outputs, 7 institutional effectiveness) and 80 indicators in the last IRRM (2014-2017) to 11 levels (1 impact, 2 outcomes, 3 outputs, 5 institutional effectiveness) </w:t>
      </w:r>
      <w:r w:rsidRPr="00543541">
        <w:rPr>
          <w:lang w:val="en-GB"/>
        </w:rPr>
        <w:t xml:space="preserve">and </w:t>
      </w:r>
      <w:r w:rsidR="00070781" w:rsidRPr="00543541">
        <w:rPr>
          <w:lang w:val="en-GB"/>
        </w:rPr>
        <w:t>5</w:t>
      </w:r>
      <w:r w:rsidR="00070781">
        <w:rPr>
          <w:lang w:val="en-GB"/>
        </w:rPr>
        <w:t>1</w:t>
      </w:r>
      <w:r w:rsidR="00070781" w:rsidRPr="00543541">
        <w:rPr>
          <w:lang w:val="en-GB"/>
        </w:rPr>
        <w:t xml:space="preserve"> </w:t>
      </w:r>
      <w:r w:rsidRPr="00543541">
        <w:rPr>
          <w:lang w:val="en-GB"/>
        </w:rPr>
        <w:t>indicators</w:t>
      </w:r>
      <w:r w:rsidR="00B37F55">
        <w:rPr>
          <w:lang w:val="en-GB"/>
        </w:rPr>
        <w:t xml:space="preserve"> in the proposed IRRM (2018-2021)</w:t>
      </w:r>
      <w:r w:rsidRPr="00543541">
        <w:rPr>
          <w:lang w:val="en-GB"/>
        </w:rPr>
        <w:t xml:space="preserve">. </w:t>
      </w:r>
    </w:p>
    <w:p w14:paraId="1A683735" w14:textId="70EF966B" w:rsidR="00FA5E9F" w:rsidRPr="00074985" w:rsidRDefault="00FA5E9F" w:rsidP="00B56D94">
      <w:pPr>
        <w:pStyle w:val="ListParagraph"/>
        <w:numPr>
          <w:ilvl w:val="0"/>
          <w:numId w:val="9"/>
        </w:numPr>
        <w:spacing w:after="100" w:line="240" w:lineRule="auto"/>
        <w:contextualSpacing w:val="0"/>
        <w:jc w:val="both"/>
        <w:rPr>
          <w:lang w:val="en-GB"/>
        </w:rPr>
      </w:pPr>
      <w:r w:rsidRPr="00074985">
        <w:rPr>
          <w:lang w:val="en-GB"/>
        </w:rPr>
        <w:t xml:space="preserve">Reflect evolving theories of change especially on market systems development &amp; partnerships: </w:t>
      </w:r>
      <w:r w:rsidR="00B37F55">
        <w:rPr>
          <w:lang w:val="en-GB"/>
        </w:rPr>
        <w:t xml:space="preserve">To </w:t>
      </w:r>
      <w:r w:rsidR="00DE7929">
        <w:rPr>
          <w:lang w:val="en-GB"/>
        </w:rPr>
        <w:t xml:space="preserve">better </w:t>
      </w:r>
      <w:r w:rsidR="00B37F55">
        <w:rPr>
          <w:lang w:val="en-GB"/>
        </w:rPr>
        <w:t xml:space="preserve">capture the evolution in </w:t>
      </w:r>
      <w:r w:rsidR="00DE7929">
        <w:rPr>
          <w:lang w:val="en-GB"/>
        </w:rPr>
        <w:t>UNCDF’s work</w:t>
      </w:r>
      <w:r w:rsidR="00B37F55">
        <w:rPr>
          <w:lang w:val="en-GB"/>
        </w:rPr>
        <w:t xml:space="preserve"> as it relates to building inclusive markets and finance systems and unlocking public and private finance, the IRRM </w:t>
      </w:r>
      <w:r w:rsidRPr="00074985">
        <w:rPr>
          <w:lang w:val="en-GB"/>
        </w:rPr>
        <w:t>introduce</w:t>
      </w:r>
      <w:r w:rsidR="00B37F55">
        <w:rPr>
          <w:lang w:val="en-GB"/>
        </w:rPr>
        <w:t>s</w:t>
      </w:r>
      <w:r w:rsidRPr="00074985">
        <w:rPr>
          <w:lang w:val="en-GB"/>
        </w:rPr>
        <w:t xml:space="preserve"> market </w:t>
      </w:r>
      <w:r w:rsidR="00B37F55">
        <w:rPr>
          <w:lang w:val="en-GB"/>
        </w:rPr>
        <w:t xml:space="preserve">and </w:t>
      </w:r>
      <w:r w:rsidRPr="00074985">
        <w:rPr>
          <w:lang w:val="en-GB"/>
        </w:rPr>
        <w:t>systems development indicators under</w:t>
      </w:r>
      <w:r w:rsidR="00DE7929">
        <w:rPr>
          <w:lang w:val="en-GB"/>
        </w:rPr>
        <w:t xml:space="preserve"> the</w:t>
      </w:r>
      <w:r w:rsidRPr="00074985">
        <w:rPr>
          <w:lang w:val="en-GB"/>
        </w:rPr>
        <w:t xml:space="preserve"> outcome </w:t>
      </w:r>
      <w:r w:rsidR="00DE7929">
        <w:rPr>
          <w:lang w:val="en-GB"/>
        </w:rPr>
        <w:t xml:space="preserve">level and </w:t>
      </w:r>
      <w:r w:rsidRPr="00074985">
        <w:rPr>
          <w:lang w:val="en-GB"/>
        </w:rPr>
        <w:t>reinforce</w:t>
      </w:r>
      <w:r w:rsidR="00B37F55">
        <w:rPr>
          <w:lang w:val="en-GB"/>
        </w:rPr>
        <w:t>s</w:t>
      </w:r>
      <w:r w:rsidRPr="00074985">
        <w:rPr>
          <w:lang w:val="en-GB"/>
        </w:rPr>
        <w:t xml:space="preserve"> partnership </w:t>
      </w:r>
      <w:r w:rsidR="00B37F55">
        <w:rPr>
          <w:lang w:val="en-GB"/>
        </w:rPr>
        <w:t xml:space="preserve">and leverage </w:t>
      </w:r>
      <w:r w:rsidRPr="00074985">
        <w:rPr>
          <w:lang w:val="en-GB"/>
        </w:rPr>
        <w:t xml:space="preserve">indicators under output 2. </w:t>
      </w:r>
    </w:p>
    <w:p w14:paraId="2B1AB802" w14:textId="0FE4BEFE" w:rsidR="00FA5E9F" w:rsidRPr="00074985" w:rsidRDefault="00FA5E9F" w:rsidP="00B56D94">
      <w:pPr>
        <w:pStyle w:val="ListParagraph"/>
        <w:numPr>
          <w:ilvl w:val="0"/>
          <w:numId w:val="9"/>
        </w:numPr>
        <w:spacing w:after="100" w:line="240" w:lineRule="auto"/>
        <w:contextualSpacing w:val="0"/>
        <w:jc w:val="both"/>
        <w:rPr>
          <w:lang w:val="en-GB"/>
        </w:rPr>
      </w:pPr>
      <w:r w:rsidRPr="00074985">
        <w:rPr>
          <w:lang w:val="en-GB"/>
        </w:rPr>
        <w:t xml:space="preserve">Ensure clearer results attribution and visible links between resources and results: UNCDF has introduced more robust measurements of UNCDF’s capital investments and leverage under output 1 and outcome 2, disaggregated by diversified investment tools. </w:t>
      </w:r>
      <w:r w:rsidR="00B37F55">
        <w:rPr>
          <w:lang w:val="en-GB"/>
        </w:rPr>
        <w:t xml:space="preserve"> </w:t>
      </w:r>
    </w:p>
    <w:p w14:paraId="3B11F0B4" w14:textId="326A8BDF" w:rsidR="00FA5E9F" w:rsidRPr="00074985" w:rsidRDefault="00FA5E9F" w:rsidP="00B56D94">
      <w:pPr>
        <w:pStyle w:val="ListParagraph"/>
        <w:numPr>
          <w:ilvl w:val="0"/>
          <w:numId w:val="9"/>
        </w:numPr>
        <w:spacing w:after="100" w:line="240" w:lineRule="auto"/>
        <w:contextualSpacing w:val="0"/>
        <w:jc w:val="both"/>
        <w:rPr>
          <w:lang w:val="en-GB"/>
        </w:rPr>
      </w:pPr>
      <w:r w:rsidRPr="00074985">
        <w:rPr>
          <w:lang w:val="en-GB"/>
        </w:rPr>
        <w:t xml:space="preserve">Integrate presentation of results: Rather than focusing on results by </w:t>
      </w:r>
      <w:r w:rsidR="00B37F55">
        <w:rPr>
          <w:lang w:val="en-GB"/>
        </w:rPr>
        <w:t xml:space="preserve">each of UNCDF’s two </w:t>
      </w:r>
      <w:r w:rsidRPr="00074985">
        <w:rPr>
          <w:lang w:val="en-GB"/>
        </w:rPr>
        <w:t>practice area</w:t>
      </w:r>
      <w:r w:rsidR="00B37F55">
        <w:rPr>
          <w:lang w:val="en-GB"/>
        </w:rPr>
        <w:t>s</w:t>
      </w:r>
      <w:r w:rsidRPr="00074985">
        <w:rPr>
          <w:lang w:val="en-GB"/>
        </w:rPr>
        <w:t xml:space="preserve">, UNCDF has now integrated financial inclusion and local development finance results in support of the two outcomes areas of market and systems development and unlocking finance for the poor.  </w:t>
      </w:r>
      <w:r w:rsidR="00B37F55">
        <w:rPr>
          <w:lang w:val="en-GB"/>
        </w:rPr>
        <w:t xml:space="preserve"> </w:t>
      </w:r>
    </w:p>
    <w:p w14:paraId="1232F3F4" w14:textId="1702E689" w:rsidR="00F02207" w:rsidRDefault="00FA5E9F" w:rsidP="00B56D94">
      <w:pPr>
        <w:pStyle w:val="ListParagraph"/>
        <w:numPr>
          <w:ilvl w:val="0"/>
          <w:numId w:val="9"/>
        </w:numPr>
        <w:spacing w:after="100" w:line="240" w:lineRule="auto"/>
        <w:contextualSpacing w:val="0"/>
        <w:rPr>
          <w:lang w:val="en-GB"/>
        </w:rPr>
      </w:pPr>
      <w:r w:rsidRPr="00F02207">
        <w:rPr>
          <w:lang w:val="en-GB"/>
        </w:rPr>
        <w:lastRenderedPageBreak/>
        <w:t>Annual targets for results: UNCDF introduce</w:t>
      </w:r>
      <w:r w:rsidR="00473341">
        <w:rPr>
          <w:lang w:val="en-GB"/>
        </w:rPr>
        <w:t>d</w:t>
      </w:r>
      <w:r w:rsidRPr="00F02207">
        <w:rPr>
          <w:lang w:val="en-GB"/>
        </w:rPr>
        <w:t xml:space="preserve"> annual targets for </w:t>
      </w:r>
      <w:r w:rsidRPr="00C10384">
        <w:rPr>
          <w:lang w:val="en-GB"/>
        </w:rPr>
        <w:t>indicators</w:t>
      </w:r>
      <w:r w:rsidR="000D4B12" w:rsidRPr="00C10384">
        <w:rPr>
          <w:rStyle w:val="FootnoteReference"/>
          <w:color w:val="auto"/>
          <w:lang w:val="en-GB"/>
        </w:rPr>
        <w:footnoteReference w:id="1"/>
      </w:r>
      <w:r w:rsidRPr="00C10384">
        <w:rPr>
          <w:lang w:val="en-GB"/>
        </w:rPr>
        <w:t xml:space="preserve"> </w:t>
      </w:r>
      <w:r w:rsidR="00473341" w:rsidRPr="00C10384">
        <w:rPr>
          <w:lang w:val="en-GB"/>
        </w:rPr>
        <w:t xml:space="preserve">based </w:t>
      </w:r>
      <w:r w:rsidR="00473341">
        <w:rPr>
          <w:lang w:val="en-GB"/>
        </w:rPr>
        <w:t>on past results trends in connection with resource estimates</w:t>
      </w:r>
      <w:r w:rsidRPr="00F02207">
        <w:rPr>
          <w:lang w:val="en-GB"/>
        </w:rPr>
        <w:t xml:space="preserve">. </w:t>
      </w:r>
    </w:p>
    <w:p w14:paraId="499EC38D" w14:textId="77777777" w:rsidR="00C656CF" w:rsidRPr="0083254F" w:rsidRDefault="00C656CF" w:rsidP="00C656CF">
      <w:pPr>
        <w:spacing w:after="0" w:line="240" w:lineRule="auto"/>
        <w:rPr>
          <w:b/>
          <w:sz w:val="26"/>
          <w:szCs w:val="26"/>
          <w:lang w:val="en-GB"/>
        </w:rPr>
      </w:pPr>
      <w:r w:rsidRPr="0083254F">
        <w:rPr>
          <w:b/>
          <w:sz w:val="26"/>
          <w:szCs w:val="26"/>
          <w:lang w:val="en-GB"/>
        </w:rPr>
        <w:t>Tier One: Impact</w:t>
      </w:r>
    </w:p>
    <w:tbl>
      <w:tblPr>
        <w:tblStyle w:val="TableGrid"/>
        <w:tblW w:w="0" w:type="auto"/>
        <w:tblLook w:val="04A0" w:firstRow="1" w:lastRow="0" w:firstColumn="1" w:lastColumn="0" w:noHBand="0" w:noVBand="1"/>
      </w:tblPr>
      <w:tblGrid>
        <w:gridCol w:w="440"/>
        <w:gridCol w:w="6266"/>
        <w:gridCol w:w="2075"/>
        <w:gridCol w:w="2087"/>
        <w:gridCol w:w="2082"/>
      </w:tblGrid>
      <w:tr w:rsidR="00F277F3" w:rsidRPr="0083254F" w14:paraId="0327B767" w14:textId="77777777" w:rsidTr="00CB6792">
        <w:tc>
          <w:tcPr>
            <w:tcW w:w="12950" w:type="dxa"/>
            <w:gridSpan w:val="5"/>
            <w:shd w:val="clear" w:color="auto" w:fill="002060"/>
          </w:tcPr>
          <w:p w14:paraId="6AC0D7E7" w14:textId="77777777" w:rsidR="00F277F3" w:rsidRPr="0083254F" w:rsidRDefault="00F277F3" w:rsidP="00C656CF">
            <w:pPr>
              <w:rPr>
                <w:b/>
                <w:color w:val="FFFF00"/>
                <w:sz w:val="24"/>
                <w:szCs w:val="24"/>
                <w:lang w:val="en-GB"/>
              </w:rPr>
            </w:pPr>
            <w:r w:rsidRPr="0083254F">
              <w:rPr>
                <w:b/>
                <w:color w:val="FFFF00"/>
                <w:sz w:val="24"/>
                <w:szCs w:val="24"/>
                <w:u w:val="single"/>
                <w:lang w:val="en-GB"/>
              </w:rPr>
              <w:t>Impact</w:t>
            </w:r>
            <w:r w:rsidRPr="0083254F">
              <w:rPr>
                <w:b/>
                <w:color w:val="FFFF00"/>
                <w:sz w:val="24"/>
                <w:szCs w:val="24"/>
                <w:lang w:val="en-GB"/>
              </w:rPr>
              <w:t xml:space="preserve">: Making </w:t>
            </w:r>
            <w:r w:rsidR="00292057">
              <w:rPr>
                <w:b/>
                <w:color w:val="FFFF00"/>
                <w:sz w:val="24"/>
                <w:szCs w:val="24"/>
                <w:lang w:val="en-GB"/>
              </w:rPr>
              <w:t>f</w:t>
            </w:r>
            <w:r w:rsidRPr="0083254F">
              <w:rPr>
                <w:b/>
                <w:color w:val="FFFF00"/>
                <w:sz w:val="24"/>
                <w:szCs w:val="24"/>
                <w:lang w:val="en-GB"/>
              </w:rPr>
              <w:t xml:space="preserve">inance </w:t>
            </w:r>
            <w:r w:rsidR="00292057">
              <w:rPr>
                <w:b/>
                <w:color w:val="FFFF00"/>
                <w:sz w:val="24"/>
                <w:szCs w:val="24"/>
                <w:lang w:val="en-GB"/>
              </w:rPr>
              <w:t>w</w:t>
            </w:r>
            <w:r w:rsidRPr="0083254F">
              <w:rPr>
                <w:b/>
                <w:color w:val="FFFF00"/>
                <w:sz w:val="24"/>
                <w:szCs w:val="24"/>
                <w:lang w:val="en-GB"/>
              </w:rPr>
              <w:t xml:space="preserve">ork for </w:t>
            </w:r>
            <w:r w:rsidR="00292057">
              <w:rPr>
                <w:b/>
                <w:color w:val="FFFF00"/>
                <w:sz w:val="24"/>
                <w:szCs w:val="24"/>
                <w:lang w:val="en-GB"/>
              </w:rPr>
              <w:t>p</w:t>
            </w:r>
            <w:r w:rsidRPr="0083254F">
              <w:rPr>
                <w:b/>
                <w:color w:val="FFFF00"/>
                <w:sz w:val="24"/>
                <w:szCs w:val="24"/>
                <w:lang w:val="en-GB"/>
              </w:rPr>
              <w:t xml:space="preserve">oor </w:t>
            </w:r>
            <w:r w:rsidR="00292057">
              <w:rPr>
                <w:b/>
                <w:color w:val="FFFF00"/>
                <w:sz w:val="24"/>
                <w:szCs w:val="24"/>
                <w:lang w:val="en-GB"/>
              </w:rPr>
              <w:t>m</w:t>
            </w:r>
            <w:r w:rsidRPr="0083254F">
              <w:rPr>
                <w:b/>
                <w:color w:val="FFFF00"/>
                <w:sz w:val="24"/>
                <w:szCs w:val="24"/>
                <w:lang w:val="en-GB"/>
              </w:rPr>
              <w:t xml:space="preserve">en </w:t>
            </w:r>
            <w:r w:rsidR="00F3701B">
              <w:rPr>
                <w:b/>
                <w:color w:val="FFFF00"/>
                <w:sz w:val="24"/>
                <w:szCs w:val="24"/>
                <w:lang w:val="en-GB"/>
              </w:rPr>
              <w:t>and</w:t>
            </w:r>
            <w:r w:rsidRPr="0083254F">
              <w:rPr>
                <w:b/>
                <w:color w:val="FFFF00"/>
                <w:sz w:val="24"/>
                <w:szCs w:val="24"/>
                <w:lang w:val="en-GB"/>
              </w:rPr>
              <w:t xml:space="preserve"> </w:t>
            </w:r>
            <w:r w:rsidR="00292057">
              <w:rPr>
                <w:b/>
                <w:color w:val="FFFF00"/>
                <w:sz w:val="24"/>
                <w:szCs w:val="24"/>
                <w:lang w:val="en-GB"/>
              </w:rPr>
              <w:t>w</w:t>
            </w:r>
            <w:r w:rsidRPr="0083254F">
              <w:rPr>
                <w:b/>
                <w:color w:val="FFFF00"/>
                <w:sz w:val="24"/>
                <w:szCs w:val="24"/>
                <w:lang w:val="en-GB"/>
              </w:rPr>
              <w:t xml:space="preserve">omen, SMEs, and </w:t>
            </w:r>
            <w:r w:rsidR="00292057">
              <w:rPr>
                <w:b/>
                <w:color w:val="FFFF00"/>
                <w:sz w:val="24"/>
                <w:szCs w:val="24"/>
                <w:lang w:val="en-GB"/>
              </w:rPr>
              <w:t>l</w:t>
            </w:r>
            <w:r w:rsidRPr="0083254F">
              <w:rPr>
                <w:b/>
                <w:color w:val="FFFF00"/>
                <w:sz w:val="24"/>
                <w:szCs w:val="24"/>
                <w:lang w:val="en-GB"/>
              </w:rPr>
              <w:t xml:space="preserve">ocal </w:t>
            </w:r>
            <w:r w:rsidR="00292057">
              <w:rPr>
                <w:b/>
                <w:color w:val="FFFF00"/>
                <w:sz w:val="24"/>
                <w:szCs w:val="24"/>
                <w:lang w:val="en-GB"/>
              </w:rPr>
              <w:t>g</w:t>
            </w:r>
            <w:r w:rsidRPr="0083254F">
              <w:rPr>
                <w:b/>
                <w:color w:val="FFFF00"/>
                <w:sz w:val="24"/>
                <w:szCs w:val="24"/>
                <w:lang w:val="en-GB"/>
              </w:rPr>
              <w:t>overnments</w:t>
            </w:r>
          </w:p>
        </w:tc>
      </w:tr>
      <w:tr w:rsidR="00F277F3" w:rsidRPr="0083254F" w14:paraId="6468144A" w14:textId="77777777" w:rsidTr="00CB6792">
        <w:tc>
          <w:tcPr>
            <w:tcW w:w="6706" w:type="dxa"/>
            <w:gridSpan w:val="2"/>
            <w:shd w:val="clear" w:color="auto" w:fill="F2F2F2" w:themeFill="background1" w:themeFillShade="F2"/>
          </w:tcPr>
          <w:p w14:paraId="25B38EE9" w14:textId="77777777" w:rsidR="00F277F3" w:rsidRPr="0083254F" w:rsidRDefault="00385291" w:rsidP="00C656CF">
            <w:pPr>
              <w:rPr>
                <w:b/>
                <w:lang w:val="en-GB"/>
              </w:rPr>
            </w:pPr>
            <w:r w:rsidRPr="0083254F">
              <w:rPr>
                <w:b/>
                <w:lang w:val="en-GB"/>
              </w:rPr>
              <w:t>Impact indicators</w:t>
            </w:r>
          </w:p>
        </w:tc>
        <w:tc>
          <w:tcPr>
            <w:tcW w:w="2075" w:type="dxa"/>
            <w:shd w:val="clear" w:color="auto" w:fill="F2F2F2" w:themeFill="background1" w:themeFillShade="F2"/>
          </w:tcPr>
          <w:p w14:paraId="747E45BA" w14:textId="77777777" w:rsidR="00F277F3" w:rsidRPr="0083254F" w:rsidRDefault="00385291" w:rsidP="00385291">
            <w:pPr>
              <w:jc w:val="center"/>
              <w:rPr>
                <w:b/>
                <w:lang w:val="en-GB"/>
              </w:rPr>
            </w:pPr>
            <w:r w:rsidRPr="0083254F">
              <w:rPr>
                <w:b/>
                <w:lang w:val="en-GB"/>
              </w:rPr>
              <w:t>Baseline</w:t>
            </w:r>
          </w:p>
        </w:tc>
        <w:tc>
          <w:tcPr>
            <w:tcW w:w="2087" w:type="dxa"/>
            <w:shd w:val="clear" w:color="auto" w:fill="F2F2F2" w:themeFill="background1" w:themeFillShade="F2"/>
          </w:tcPr>
          <w:p w14:paraId="2B45F38C" w14:textId="77777777" w:rsidR="00F277F3" w:rsidRPr="0083254F" w:rsidRDefault="00385291" w:rsidP="00385291">
            <w:pPr>
              <w:jc w:val="center"/>
              <w:rPr>
                <w:b/>
                <w:lang w:val="en-GB"/>
              </w:rPr>
            </w:pPr>
            <w:r w:rsidRPr="0083254F">
              <w:rPr>
                <w:b/>
                <w:lang w:val="en-GB"/>
              </w:rPr>
              <w:t>Milestone (2021)</w:t>
            </w:r>
          </w:p>
        </w:tc>
        <w:tc>
          <w:tcPr>
            <w:tcW w:w="2082" w:type="dxa"/>
            <w:shd w:val="clear" w:color="auto" w:fill="F2F2F2" w:themeFill="background1" w:themeFillShade="F2"/>
          </w:tcPr>
          <w:p w14:paraId="359D08D1" w14:textId="77777777" w:rsidR="00F277F3" w:rsidRPr="0083254F" w:rsidRDefault="00385291" w:rsidP="00385291">
            <w:pPr>
              <w:jc w:val="center"/>
              <w:rPr>
                <w:b/>
                <w:lang w:val="en-GB"/>
              </w:rPr>
            </w:pPr>
            <w:r w:rsidRPr="0083254F">
              <w:rPr>
                <w:b/>
                <w:lang w:val="en-GB"/>
              </w:rPr>
              <w:t>Global target (2030)</w:t>
            </w:r>
          </w:p>
        </w:tc>
      </w:tr>
      <w:tr w:rsidR="00385291" w:rsidRPr="0083254F" w14:paraId="40DDE145" w14:textId="77777777" w:rsidTr="00B56D94">
        <w:trPr>
          <w:trHeight w:val="440"/>
        </w:trPr>
        <w:tc>
          <w:tcPr>
            <w:tcW w:w="440" w:type="dxa"/>
            <w:vMerge w:val="restart"/>
          </w:tcPr>
          <w:p w14:paraId="07DF36F9" w14:textId="77777777" w:rsidR="00385291" w:rsidRPr="0083254F" w:rsidRDefault="00385291" w:rsidP="00C656CF">
            <w:pPr>
              <w:rPr>
                <w:lang w:val="en-GB"/>
              </w:rPr>
            </w:pPr>
            <w:r w:rsidRPr="0083254F">
              <w:rPr>
                <w:lang w:val="en-GB"/>
              </w:rPr>
              <w:t>1</w:t>
            </w:r>
          </w:p>
        </w:tc>
        <w:tc>
          <w:tcPr>
            <w:tcW w:w="6266" w:type="dxa"/>
          </w:tcPr>
          <w:p w14:paraId="194CAB00" w14:textId="05076208" w:rsidR="00385291" w:rsidRPr="0083254F" w:rsidRDefault="00385291" w:rsidP="00C656CF">
            <w:pPr>
              <w:rPr>
                <w:lang w:val="en-GB"/>
              </w:rPr>
            </w:pPr>
            <w:r w:rsidRPr="0083254F">
              <w:rPr>
                <w:lang w:val="en-GB"/>
              </w:rPr>
              <w:t>Proportion of population below the international poverty line ($1.90 a day), by sex, age, employment status and geographical location in LDCs</w:t>
            </w:r>
          </w:p>
        </w:tc>
        <w:tc>
          <w:tcPr>
            <w:tcW w:w="2075" w:type="dxa"/>
          </w:tcPr>
          <w:p w14:paraId="2D48EFD9" w14:textId="77777777" w:rsidR="00860C66" w:rsidRPr="0083254F" w:rsidRDefault="00860C66" w:rsidP="00860C66">
            <w:pPr>
              <w:rPr>
                <w:lang w:val="en-GB"/>
              </w:rPr>
            </w:pPr>
            <w:r w:rsidRPr="0083254F">
              <w:rPr>
                <w:lang w:val="en-GB"/>
              </w:rPr>
              <w:t xml:space="preserve">Overall: </w:t>
            </w:r>
            <w:r w:rsidR="005E04CE">
              <w:rPr>
                <w:lang w:val="en-GB"/>
              </w:rPr>
              <w:t>37.94%</w:t>
            </w:r>
          </w:p>
          <w:p w14:paraId="6226314B" w14:textId="77777777" w:rsidR="00385291" w:rsidRDefault="00860C66" w:rsidP="00860C66">
            <w:pPr>
              <w:rPr>
                <w:lang w:val="en-GB"/>
              </w:rPr>
            </w:pPr>
            <w:r w:rsidRPr="0083254F">
              <w:rPr>
                <w:lang w:val="en-GB"/>
              </w:rPr>
              <w:t>Female:</w:t>
            </w:r>
            <w:r w:rsidR="005E04CE">
              <w:rPr>
                <w:lang w:val="en-GB"/>
              </w:rPr>
              <w:t xml:space="preserve"> 38.04%</w:t>
            </w:r>
          </w:p>
          <w:p w14:paraId="6E3E05CD" w14:textId="77777777" w:rsidR="005B6D9A" w:rsidRPr="005B6D9A" w:rsidRDefault="005B6D9A" w:rsidP="00860C66">
            <w:pPr>
              <w:rPr>
                <w:lang w:val="en-GB"/>
              </w:rPr>
            </w:pPr>
            <w:r w:rsidRPr="00FA5E9F">
              <w:rPr>
                <w:lang w:val="en-GB"/>
              </w:rPr>
              <w:t>(For 25 years &amp; over in 2016)</w:t>
            </w:r>
          </w:p>
        </w:tc>
        <w:tc>
          <w:tcPr>
            <w:tcW w:w="2087" w:type="dxa"/>
          </w:tcPr>
          <w:p w14:paraId="080102F3" w14:textId="7859EB99" w:rsidR="00385291" w:rsidRPr="0083254F" w:rsidRDefault="00473341">
            <w:pPr>
              <w:rPr>
                <w:lang w:val="en-GB"/>
              </w:rPr>
            </w:pPr>
            <w:r>
              <w:rPr>
                <w:lang w:val="en-GB"/>
              </w:rPr>
              <w:t xml:space="preserve">Direction of travel: </w:t>
            </w:r>
            <w:r w:rsidR="008C2AAC">
              <w:rPr>
                <w:lang w:val="en-GB"/>
              </w:rPr>
              <w:t xml:space="preserve">Reduction in value </w:t>
            </w:r>
          </w:p>
        </w:tc>
        <w:tc>
          <w:tcPr>
            <w:tcW w:w="2082" w:type="dxa"/>
          </w:tcPr>
          <w:p w14:paraId="29DADB47" w14:textId="2FDC1A33" w:rsidR="00860C66" w:rsidRPr="0083254F" w:rsidRDefault="00860C66" w:rsidP="00860C66">
            <w:pPr>
              <w:rPr>
                <w:lang w:val="en-GB"/>
              </w:rPr>
            </w:pPr>
            <w:r w:rsidRPr="0083254F">
              <w:rPr>
                <w:lang w:val="en-GB"/>
              </w:rPr>
              <w:t>Overall:</w:t>
            </w:r>
            <w:r w:rsidR="005E04CE">
              <w:rPr>
                <w:lang w:val="en-GB"/>
              </w:rPr>
              <w:t xml:space="preserve"> </w:t>
            </w:r>
            <w:r w:rsidR="008C2AAC">
              <w:rPr>
                <w:lang w:val="en-GB"/>
              </w:rPr>
              <w:t>(virtual 0%)</w:t>
            </w:r>
          </w:p>
          <w:p w14:paraId="4C1AF2B5" w14:textId="77777777" w:rsidR="00385291" w:rsidRPr="0083254F" w:rsidRDefault="00860C66" w:rsidP="00860C66">
            <w:pPr>
              <w:rPr>
                <w:lang w:val="en-GB"/>
              </w:rPr>
            </w:pPr>
            <w:r w:rsidRPr="0083254F">
              <w:rPr>
                <w:lang w:val="en-GB"/>
              </w:rPr>
              <w:t>Female:</w:t>
            </w:r>
            <w:r w:rsidR="005E04CE">
              <w:rPr>
                <w:lang w:val="en-GB"/>
              </w:rPr>
              <w:t xml:space="preserve"> </w:t>
            </w:r>
            <w:r w:rsidR="008C2AAC">
              <w:rPr>
                <w:lang w:val="en-GB"/>
              </w:rPr>
              <w:t>(virtual 0%)</w:t>
            </w:r>
          </w:p>
        </w:tc>
      </w:tr>
      <w:tr w:rsidR="00385291" w:rsidRPr="0083254F" w14:paraId="42964984" w14:textId="77777777" w:rsidTr="00CB6792">
        <w:tc>
          <w:tcPr>
            <w:tcW w:w="440" w:type="dxa"/>
            <w:vMerge/>
          </w:tcPr>
          <w:p w14:paraId="1B17F3E7" w14:textId="77777777" w:rsidR="00385291" w:rsidRPr="0083254F" w:rsidRDefault="00385291" w:rsidP="00C656CF">
            <w:pPr>
              <w:rPr>
                <w:lang w:val="en-GB"/>
              </w:rPr>
            </w:pPr>
          </w:p>
        </w:tc>
        <w:tc>
          <w:tcPr>
            <w:tcW w:w="12510" w:type="dxa"/>
            <w:gridSpan w:val="4"/>
            <w:shd w:val="clear" w:color="auto" w:fill="D0CECE" w:themeFill="background2" w:themeFillShade="E6"/>
          </w:tcPr>
          <w:p w14:paraId="00F4A49C" w14:textId="77777777" w:rsidR="00385291" w:rsidRPr="0083254F" w:rsidRDefault="00385291" w:rsidP="00C656CF">
            <w:pPr>
              <w:rPr>
                <w:lang w:val="en-GB"/>
              </w:rPr>
            </w:pPr>
            <w:r w:rsidRPr="0083254F">
              <w:rPr>
                <w:b/>
                <w:lang w:val="en-GB"/>
              </w:rPr>
              <w:t>Common indicators</w:t>
            </w:r>
            <w:r w:rsidRPr="0083254F">
              <w:rPr>
                <w:lang w:val="en-GB"/>
              </w:rPr>
              <w:t>: UNDP, UNICEF, UNWOMEN</w:t>
            </w:r>
          </w:p>
          <w:p w14:paraId="445BB748" w14:textId="77777777" w:rsidR="00385291" w:rsidRPr="0083254F" w:rsidRDefault="00385291" w:rsidP="00385291">
            <w:pPr>
              <w:rPr>
                <w:lang w:val="en-GB"/>
              </w:rPr>
            </w:pPr>
            <w:r w:rsidRPr="0083254F">
              <w:rPr>
                <w:b/>
                <w:lang w:val="en-GB"/>
              </w:rPr>
              <w:t>Corresponding SDG target</w:t>
            </w:r>
            <w:r w:rsidRPr="0083254F">
              <w:rPr>
                <w:lang w:val="en-GB"/>
              </w:rPr>
              <w:t xml:space="preserve">: </w:t>
            </w:r>
            <w:r w:rsidRPr="0083254F">
              <w:rPr>
                <w:b/>
                <w:u w:val="single"/>
                <w:lang w:val="en-GB"/>
              </w:rPr>
              <w:t>1.1</w:t>
            </w:r>
            <w:r w:rsidRPr="0083254F">
              <w:rPr>
                <w:lang w:val="en-GB"/>
              </w:rPr>
              <w:t xml:space="preserve"> By 2030, eradicate extreme poverty for all people everywhere, currently measured as people living on less than $1.25 a day (SDG indicator 1.1.1)</w:t>
            </w:r>
          </w:p>
          <w:p w14:paraId="0D93315B" w14:textId="77777777" w:rsidR="00972818" w:rsidRPr="0083254F" w:rsidRDefault="00972818" w:rsidP="00160D82">
            <w:pPr>
              <w:rPr>
                <w:lang w:val="en-GB"/>
              </w:rPr>
            </w:pPr>
            <w:r w:rsidRPr="0083254F">
              <w:rPr>
                <w:b/>
                <w:lang w:val="en-GB"/>
              </w:rPr>
              <w:t xml:space="preserve">Data source: </w:t>
            </w:r>
            <w:r w:rsidRPr="0083254F">
              <w:rPr>
                <w:lang w:val="en-GB"/>
              </w:rPr>
              <w:t>UN SDG Global Database (Indicator custodian: World Bank)</w:t>
            </w:r>
          </w:p>
          <w:p w14:paraId="62D93A16" w14:textId="6185C77F" w:rsidR="00385291" w:rsidRPr="0083254F" w:rsidRDefault="00160D82" w:rsidP="00160D82">
            <w:pPr>
              <w:rPr>
                <w:lang w:val="en-GB"/>
              </w:rPr>
            </w:pPr>
            <w:r w:rsidRPr="0083254F">
              <w:rPr>
                <w:b/>
                <w:lang w:val="en-GB"/>
              </w:rPr>
              <w:t>Approach to the indicator</w:t>
            </w:r>
            <w:r w:rsidRPr="0083254F">
              <w:rPr>
                <w:lang w:val="en-GB"/>
              </w:rPr>
              <w:t xml:space="preserve">: The indicator will aggregate the available data for the LDCs. Results will be presented </w:t>
            </w:r>
            <w:r w:rsidR="005E04CE">
              <w:rPr>
                <w:lang w:val="en-GB"/>
              </w:rPr>
              <w:t>based on</w:t>
            </w:r>
            <w:r w:rsidR="005E04CE" w:rsidRPr="0083254F">
              <w:rPr>
                <w:lang w:val="en-GB"/>
              </w:rPr>
              <w:t xml:space="preserve"> </w:t>
            </w:r>
            <w:r w:rsidRPr="0083254F">
              <w:rPr>
                <w:lang w:val="en-GB"/>
              </w:rPr>
              <w:t xml:space="preserve">data </w:t>
            </w:r>
            <w:r w:rsidR="005E04CE">
              <w:rPr>
                <w:lang w:val="en-GB"/>
              </w:rPr>
              <w:t xml:space="preserve">availability </w:t>
            </w:r>
            <w:r w:rsidRPr="0083254F">
              <w:rPr>
                <w:lang w:val="en-GB"/>
              </w:rPr>
              <w:t>from custodian age</w:t>
            </w:r>
            <w:r w:rsidR="005E04CE">
              <w:rPr>
                <w:lang w:val="en-GB"/>
              </w:rPr>
              <w:t xml:space="preserve">ncy and UN SDG Global Database. </w:t>
            </w:r>
          </w:p>
        </w:tc>
      </w:tr>
      <w:tr w:rsidR="00160D82" w:rsidRPr="0083254F" w14:paraId="24258FE1" w14:textId="77777777" w:rsidTr="00CB6792">
        <w:tc>
          <w:tcPr>
            <w:tcW w:w="440" w:type="dxa"/>
            <w:vMerge w:val="restart"/>
          </w:tcPr>
          <w:p w14:paraId="1A8F1988" w14:textId="77777777" w:rsidR="00160D82" w:rsidRPr="0083254F" w:rsidRDefault="00160D82" w:rsidP="00C656CF">
            <w:pPr>
              <w:rPr>
                <w:lang w:val="en-GB"/>
              </w:rPr>
            </w:pPr>
            <w:r w:rsidRPr="0083254F">
              <w:rPr>
                <w:lang w:val="en-GB"/>
              </w:rPr>
              <w:t>2</w:t>
            </w:r>
          </w:p>
        </w:tc>
        <w:tc>
          <w:tcPr>
            <w:tcW w:w="6266" w:type="dxa"/>
          </w:tcPr>
          <w:p w14:paraId="7ED3424E" w14:textId="429C1EC6" w:rsidR="00160D82" w:rsidRPr="0083254F" w:rsidRDefault="00160D82" w:rsidP="00C656CF">
            <w:pPr>
              <w:rPr>
                <w:lang w:val="en-GB"/>
              </w:rPr>
            </w:pPr>
            <w:r w:rsidRPr="0083254F">
              <w:rPr>
                <w:lang w:val="en-GB"/>
              </w:rPr>
              <w:t>Proportion of adults (15 years and older) with an</w:t>
            </w:r>
            <w:r w:rsidR="00975DC0">
              <w:rPr>
                <w:lang w:val="en-GB"/>
              </w:rPr>
              <w:t xml:space="preserve"> </w:t>
            </w:r>
            <w:r w:rsidRPr="0083254F">
              <w:rPr>
                <w:lang w:val="en-GB"/>
              </w:rPr>
              <w:t>account at a bank or other financial institution or with a mobile-money-service provider</w:t>
            </w:r>
            <w:r w:rsidR="00860C66" w:rsidRPr="0083254F">
              <w:rPr>
                <w:lang w:val="en-GB"/>
              </w:rPr>
              <w:t>, disaggregated by sex</w:t>
            </w:r>
            <w:r w:rsidR="009D0CE3">
              <w:rPr>
                <w:lang w:val="en-GB"/>
              </w:rPr>
              <w:t>,</w:t>
            </w:r>
            <w:r w:rsidRPr="0083254F">
              <w:rPr>
                <w:lang w:val="en-GB"/>
              </w:rPr>
              <w:t xml:space="preserve"> in LDCs</w:t>
            </w:r>
          </w:p>
        </w:tc>
        <w:tc>
          <w:tcPr>
            <w:tcW w:w="2075" w:type="dxa"/>
          </w:tcPr>
          <w:p w14:paraId="09A3AA9E" w14:textId="28C1080B" w:rsidR="00160D82" w:rsidRPr="00C10384" w:rsidRDefault="00FF3535" w:rsidP="00C656CF">
            <w:pPr>
              <w:rPr>
                <w:lang w:val="en-GB"/>
              </w:rPr>
            </w:pPr>
            <w:r>
              <w:rPr>
                <w:lang w:val="en-GB"/>
              </w:rPr>
              <w:t xml:space="preserve">24% (in </w:t>
            </w:r>
            <w:r w:rsidRPr="00C10384">
              <w:rPr>
                <w:lang w:val="en-GB"/>
              </w:rPr>
              <w:t>2014)</w:t>
            </w:r>
            <w:r w:rsidR="000D4B12" w:rsidRPr="00C10384">
              <w:rPr>
                <w:rStyle w:val="FootnoteReference"/>
                <w:color w:val="auto"/>
                <w:lang w:val="en-GB"/>
              </w:rPr>
              <w:footnoteReference w:id="2"/>
            </w:r>
          </w:p>
          <w:p w14:paraId="66D521AC" w14:textId="3706596A" w:rsidR="00860C66" w:rsidRPr="0083254F" w:rsidRDefault="00860C66" w:rsidP="00C656CF">
            <w:pPr>
              <w:rPr>
                <w:lang w:val="en-GB"/>
              </w:rPr>
            </w:pPr>
            <w:r w:rsidRPr="0083254F">
              <w:rPr>
                <w:lang w:val="en-GB"/>
              </w:rPr>
              <w:t xml:space="preserve"> </w:t>
            </w:r>
          </w:p>
        </w:tc>
        <w:tc>
          <w:tcPr>
            <w:tcW w:w="2087" w:type="dxa"/>
          </w:tcPr>
          <w:p w14:paraId="6EA5B07F" w14:textId="0459C70A" w:rsidR="00160D82" w:rsidRPr="0083254F" w:rsidRDefault="00B654EA" w:rsidP="00860C66">
            <w:pPr>
              <w:rPr>
                <w:lang w:val="en-GB"/>
              </w:rPr>
            </w:pPr>
            <w:r>
              <w:rPr>
                <w:lang w:val="en-GB"/>
              </w:rPr>
              <w:t>D</w:t>
            </w:r>
            <w:r w:rsidR="000E7F39">
              <w:rPr>
                <w:lang w:val="en-GB"/>
              </w:rPr>
              <w:t xml:space="preserve">irection of </w:t>
            </w:r>
            <w:r>
              <w:rPr>
                <w:lang w:val="en-GB"/>
              </w:rPr>
              <w:t>travel: Increase</w:t>
            </w:r>
          </w:p>
        </w:tc>
        <w:tc>
          <w:tcPr>
            <w:tcW w:w="2082" w:type="dxa"/>
          </w:tcPr>
          <w:p w14:paraId="375071AB" w14:textId="46492336" w:rsidR="00160D82" w:rsidRPr="0083254F" w:rsidRDefault="00B654EA" w:rsidP="00860C66">
            <w:pPr>
              <w:rPr>
                <w:lang w:val="en-GB"/>
              </w:rPr>
            </w:pPr>
            <w:r>
              <w:rPr>
                <w:lang w:val="en-GB"/>
              </w:rPr>
              <w:t>Direction of travel: Increase</w:t>
            </w:r>
          </w:p>
        </w:tc>
      </w:tr>
      <w:tr w:rsidR="00160D82" w:rsidRPr="0083254F" w14:paraId="0D9868A7" w14:textId="77777777" w:rsidTr="00CB6792">
        <w:tc>
          <w:tcPr>
            <w:tcW w:w="440" w:type="dxa"/>
            <w:vMerge/>
          </w:tcPr>
          <w:p w14:paraId="500D6DA6" w14:textId="77777777" w:rsidR="00160D82" w:rsidRPr="0083254F" w:rsidRDefault="00160D82" w:rsidP="00C656CF">
            <w:pPr>
              <w:rPr>
                <w:lang w:val="en-GB"/>
              </w:rPr>
            </w:pPr>
          </w:p>
        </w:tc>
        <w:tc>
          <w:tcPr>
            <w:tcW w:w="12510" w:type="dxa"/>
            <w:gridSpan w:val="4"/>
            <w:shd w:val="clear" w:color="auto" w:fill="D0CECE" w:themeFill="background2" w:themeFillShade="E6"/>
          </w:tcPr>
          <w:p w14:paraId="2E345B03" w14:textId="77777777" w:rsidR="00160D82" w:rsidRPr="0083254F" w:rsidRDefault="00160D82" w:rsidP="00160D82">
            <w:pPr>
              <w:rPr>
                <w:lang w:val="en-GB"/>
              </w:rPr>
            </w:pPr>
            <w:r w:rsidRPr="0083254F">
              <w:rPr>
                <w:b/>
                <w:lang w:val="en-GB"/>
              </w:rPr>
              <w:t>Common indicators</w:t>
            </w:r>
            <w:r w:rsidRPr="0083254F">
              <w:rPr>
                <w:lang w:val="en-GB"/>
              </w:rPr>
              <w:t>: N/A</w:t>
            </w:r>
          </w:p>
          <w:p w14:paraId="29945689" w14:textId="77777777" w:rsidR="00160D82" w:rsidRPr="0083254F" w:rsidRDefault="00160D82" w:rsidP="00160D82">
            <w:pPr>
              <w:rPr>
                <w:lang w:val="en-GB"/>
              </w:rPr>
            </w:pPr>
            <w:r w:rsidRPr="0083254F">
              <w:rPr>
                <w:b/>
                <w:lang w:val="en-GB"/>
              </w:rPr>
              <w:t>Corresponding SDG target</w:t>
            </w:r>
            <w:r w:rsidRPr="0083254F">
              <w:rPr>
                <w:lang w:val="en-GB"/>
              </w:rPr>
              <w:t xml:space="preserve">: </w:t>
            </w:r>
            <w:r w:rsidRPr="0083254F">
              <w:rPr>
                <w:b/>
                <w:u w:val="single"/>
                <w:lang w:val="en-GB"/>
              </w:rPr>
              <w:t>8.10</w:t>
            </w:r>
            <w:r w:rsidRPr="0083254F">
              <w:rPr>
                <w:lang w:val="en-GB"/>
              </w:rPr>
              <w:t xml:space="preserve"> Strengthen the capacity of domestic financial institutions to encourage and expand access to banking, insurance and financial services for all (SDG indicator 8.10.2)</w:t>
            </w:r>
          </w:p>
          <w:p w14:paraId="3AC89472" w14:textId="77777777" w:rsidR="00972818" w:rsidRPr="0083254F" w:rsidRDefault="00972818" w:rsidP="00972818">
            <w:pPr>
              <w:rPr>
                <w:lang w:val="en-GB"/>
              </w:rPr>
            </w:pPr>
            <w:r w:rsidRPr="0083254F">
              <w:rPr>
                <w:b/>
                <w:lang w:val="en-GB"/>
              </w:rPr>
              <w:t xml:space="preserve">Data source: </w:t>
            </w:r>
            <w:r w:rsidRPr="0083254F">
              <w:rPr>
                <w:lang w:val="en-GB"/>
              </w:rPr>
              <w:t>UN SDG Global Database (Indicator custodian: World Bank)</w:t>
            </w:r>
          </w:p>
          <w:p w14:paraId="3BF3A89D" w14:textId="5A1692EA" w:rsidR="00160D82" w:rsidRPr="0083254F" w:rsidRDefault="00160D82" w:rsidP="00160D82">
            <w:pPr>
              <w:rPr>
                <w:lang w:val="en-GB"/>
              </w:rPr>
            </w:pPr>
            <w:r w:rsidRPr="0083254F">
              <w:rPr>
                <w:b/>
                <w:lang w:val="en-GB"/>
              </w:rPr>
              <w:t>Approach to the indicator</w:t>
            </w:r>
            <w:r w:rsidRPr="0083254F">
              <w:rPr>
                <w:lang w:val="en-GB"/>
              </w:rPr>
              <w:t xml:space="preserve">: The indicator will aggregate the available data for the LDCs. </w:t>
            </w:r>
            <w:r w:rsidR="00FF3535" w:rsidRPr="0083254F">
              <w:rPr>
                <w:lang w:val="en-GB"/>
              </w:rPr>
              <w:t xml:space="preserve">Results will be presented </w:t>
            </w:r>
            <w:r w:rsidR="00FF3535">
              <w:rPr>
                <w:lang w:val="en-GB"/>
              </w:rPr>
              <w:t>based on</w:t>
            </w:r>
            <w:r w:rsidR="00FF3535" w:rsidRPr="0083254F">
              <w:rPr>
                <w:lang w:val="en-GB"/>
              </w:rPr>
              <w:t xml:space="preserve"> data </w:t>
            </w:r>
            <w:r w:rsidR="00FF3535">
              <w:rPr>
                <w:lang w:val="en-GB"/>
              </w:rPr>
              <w:t xml:space="preserve">availability </w:t>
            </w:r>
            <w:r w:rsidR="00FF3535" w:rsidRPr="0083254F">
              <w:rPr>
                <w:lang w:val="en-GB"/>
              </w:rPr>
              <w:t>from custodian age</w:t>
            </w:r>
            <w:r w:rsidR="00FF3535">
              <w:rPr>
                <w:lang w:val="en-GB"/>
              </w:rPr>
              <w:t xml:space="preserve">ncy and UN SDG Global Database. </w:t>
            </w:r>
          </w:p>
        </w:tc>
      </w:tr>
      <w:tr w:rsidR="004E6D63" w:rsidRPr="0083254F" w14:paraId="600D05A8" w14:textId="77777777" w:rsidTr="00CB6792">
        <w:tc>
          <w:tcPr>
            <w:tcW w:w="440" w:type="dxa"/>
            <w:vMerge w:val="restart"/>
          </w:tcPr>
          <w:p w14:paraId="2AF38B70" w14:textId="2F0F00D6" w:rsidR="004E6D63" w:rsidRPr="0083254F" w:rsidRDefault="004E6D63" w:rsidP="004E6D63">
            <w:pPr>
              <w:rPr>
                <w:lang w:val="en-GB"/>
              </w:rPr>
            </w:pPr>
            <w:r>
              <w:rPr>
                <w:lang w:val="en-GB"/>
              </w:rPr>
              <w:t>3</w:t>
            </w:r>
          </w:p>
        </w:tc>
        <w:tc>
          <w:tcPr>
            <w:tcW w:w="6266" w:type="dxa"/>
          </w:tcPr>
          <w:p w14:paraId="5C390713" w14:textId="6D9FE5CF" w:rsidR="004E6D63" w:rsidRPr="0083254F" w:rsidRDefault="004E6D63" w:rsidP="004E6D63">
            <w:pPr>
              <w:rPr>
                <w:lang w:val="en-GB"/>
              </w:rPr>
            </w:pPr>
            <w:r w:rsidRPr="0083254F">
              <w:rPr>
                <w:lang w:val="en-GB"/>
              </w:rPr>
              <w:t xml:space="preserve">Dollar value of financial and technical assistance (including through North-South, South-South and triangular cooperation) committed to </w:t>
            </w:r>
            <w:r>
              <w:rPr>
                <w:lang w:val="en-GB"/>
              </w:rPr>
              <w:t>LDCs</w:t>
            </w:r>
          </w:p>
        </w:tc>
        <w:tc>
          <w:tcPr>
            <w:tcW w:w="2075" w:type="dxa"/>
          </w:tcPr>
          <w:p w14:paraId="12D1575F" w14:textId="77777777" w:rsidR="004E6D63" w:rsidRPr="0083254F" w:rsidRDefault="004E6D63" w:rsidP="004E6D63">
            <w:pPr>
              <w:rPr>
                <w:lang w:val="en-GB"/>
              </w:rPr>
            </w:pPr>
            <w:r>
              <w:rPr>
                <w:lang w:val="en-GB"/>
              </w:rPr>
              <w:t>$28,679.08 million (in 2015)</w:t>
            </w:r>
          </w:p>
        </w:tc>
        <w:tc>
          <w:tcPr>
            <w:tcW w:w="2087" w:type="dxa"/>
          </w:tcPr>
          <w:p w14:paraId="04118778" w14:textId="77777777" w:rsidR="004E6D63" w:rsidRPr="0083254F" w:rsidRDefault="00B654EA" w:rsidP="004E6D63">
            <w:pPr>
              <w:rPr>
                <w:lang w:val="en-GB"/>
              </w:rPr>
            </w:pPr>
            <w:r>
              <w:rPr>
                <w:lang w:val="en-GB"/>
              </w:rPr>
              <w:t>Direction of travel: Increase</w:t>
            </w:r>
          </w:p>
        </w:tc>
        <w:tc>
          <w:tcPr>
            <w:tcW w:w="2082" w:type="dxa"/>
          </w:tcPr>
          <w:p w14:paraId="2F86C3A9" w14:textId="77777777" w:rsidR="004E6D63" w:rsidRPr="0083254F" w:rsidRDefault="00B654EA" w:rsidP="004E6D63">
            <w:pPr>
              <w:rPr>
                <w:lang w:val="en-GB"/>
              </w:rPr>
            </w:pPr>
            <w:r>
              <w:rPr>
                <w:lang w:val="en-GB"/>
              </w:rPr>
              <w:t>Direction of travel: Increase</w:t>
            </w:r>
          </w:p>
        </w:tc>
      </w:tr>
      <w:tr w:rsidR="004E6D63" w:rsidRPr="0083254F" w14:paraId="464534C8" w14:textId="77777777" w:rsidTr="00CB6792">
        <w:tc>
          <w:tcPr>
            <w:tcW w:w="440" w:type="dxa"/>
            <w:vMerge/>
          </w:tcPr>
          <w:p w14:paraId="6E9EE102" w14:textId="77777777" w:rsidR="004E6D63" w:rsidRPr="0083254F" w:rsidRDefault="004E6D63" w:rsidP="004E6D63">
            <w:pPr>
              <w:rPr>
                <w:lang w:val="en-GB"/>
              </w:rPr>
            </w:pPr>
          </w:p>
        </w:tc>
        <w:tc>
          <w:tcPr>
            <w:tcW w:w="12510" w:type="dxa"/>
            <w:gridSpan w:val="4"/>
            <w:shd w:val="clear" w:color="auto" w:fill="D0CECE" w:themeFill="background2" w:themeFillShade="E6"/>
          </w:tcPr>
          <w:p w14:paraId="602B07E7" w14:textId="77777777" w:rsidR="004E6D63" w:rsidRPr="0083254F" w:rsidRDefault="004E6D63" w:rsidP="004E6D63">
            <w:pPr>
              <w:rPr>
                <w:lang w:val="en-GB"/>
              </w:rPr>
            </w:pPr>
            <w:r w:rsidRPr="0083254F">
              <w:rPr>
                <w:b/>
                <w:lang w:val="en-GB"/>
              </w:rPr>
              <w:t>Common indicators</w:t>
            </w:r>
            <w:r w:rsidRPr="0083254F">
              <w:rPr>
                <w:lang w:val="en-GB"/>
              </w:rPr>
              <w:t>: UNDP</w:t>
            </w:r>
          </w:p>
          <w:p w14:paraId="6DDB249F" w14:textId="77777777" w:rsidR="004E6D63" w:rsidRPr="0083254F" w:rsidRDefault="004E6D63" w:rsidP="004E6D63">
            <w:pPr>
              <w:rPr>
                <w:lang w:val="en-GB"/>
              </w:rPr>
            </w:pPr>
            <w:r w:rsidRPr="0083254F">
              <w:rPr>
                <w:b/>
                <w:lang w:val="en-GB"/>
              </w:rPr>
              <w:t>Corresponding SDG target</w:t>
            </w:r>
            <w:r w:rsidRPr="0083254F">
              <w:rPr>
                <w:lang w:val="en-GB"/>
              </w:rPr>
              <w:t xml:space="preserve">: </w:t>
            </w:r>
            <w:r w:rsidRPr="0083254F">
              <w:rPr>
                <w:b/>
                <w:u w:val="single"/>
                <w:lang w:val="en-GB"/>
              </w:rPr>
              <w:t>17.9</w:t>
            </w:r>
            <w:r w:rsidRPr="0083254F">
              <w:rPr>
                <w:lang w:val="en-GB"/>
              </w:rPr>
              <w:t xml:space="preserve"> Enhance international support for implementing effective and targeted capacity-building in developing countries to support national plans to implement all the Sustainable Development Goals, including through North-South, South-South </w:t>
            </w:r>
            <w:r w:rsidRPr="0083254F">
              <w:rPr>
                <w:lang w:val="en-GB"/>
              </w:rPr>
              <w:lastRenderedPageBreak/>
              <w:t>and triangular cooperation (SDG indicator 17.9.1)</w:t>
            </w:r>
          </w:p>
          <w:p w14:paraId="0B18E3B2" w14:textId="77777777" w:rsidR="004E6D63" w:rsidRPr="0083254F" w:rsidRDefault="004E6D63" w:rsidP="004E6D63">
            <w:pPr>
              <w:rPr>
                <w:lang w:val="en-GB"/>
              </w:rPr>
            </w:pPr>
            <w:r w:rsidRPr="0083254F">
              <w:rPr>
                <w:b/>
                <w:lang w:val="en-GB"/>
              </w:rPr>
              <w:t xml:space="preserve">Data source: </w:t>
            </w:r>
            <w:r w:rsidRPr="0083254F">
              <w:rPr>
                <w:lang w:val="en-GB"/>
              </w:rPr>
              <w:t>UN SDG Global Database (Indicator custodian: OECD)</w:t>
            </w:r>
            <w:r>
              <w:rPr>
                <w:lang w:val="en-GB"/>
              </w:rPr>
              <w:t xml:space="preserve">, OECD DAC Statistics </w:t>
            </w:r>
          </w:p>
          <w:p w14:paraId="54E3E7EC" w14:textId="77777777" w:rsidR="004E6D63" w:rsidRPr="0083254F" w:rsidRDefault="004E6D63" w:rsidP="004E6D63">
            <w:pPr>
              <w:rPr>
                <w:lang w:val="en-GB"/>
              </w:rPr>
            </w:pPr>
            <w:r w:rsidRPr="0083254F">
              <w:rPr>
                <w:b/>
                <w:lang w:val="en-GB"/>
              </w:rPr>
              <w:t>Approach to the indicator</w:t>
            </w:r>
            <w:r w:rsidRPr="0083254F">
              <w:rPr>
                <w:lang w:val="en-GB"/>
              </w:rPr>
              <w:t>: The indicator will aggregate the available data for the LDCs. Results will be presented when data is available from custodian agenda.</w:t>
            </w:r>
          </w:p>
        </w:tc>
      </w:tr>
    </w:tbl>
    <w:p w14:paraId="3D22E1BE" w14:textId="77777777" w:rsidR="00557601" w:rsidRPr="0083254F" w:rsidRDefault="00557601" w:rsidP="00557601">
      <w:pPr>
        <w:spacing w:after="0" w:line="240" w:lineRule="auto"/>
        <w:rPr>
          <w:b/>
          <w:sz w:val="26"/>
          <w:szCs w:val="26"/>
          <w:lang w:val="en-GB"/>
        </w:rPr>
      </w:pPr>
      <w:r w:rsidRPr="0083254F">
        <w:rPr>
          <w:b/>
          <w:sz w:val="26"/>
          <w:szCs w:val="26"/>
          <w:lang w:val="en-GB"/>
        </w:rPr>
        <w:lastRenderedPageBreak/>
        <w:t>Tier Two: Outcome</w:t>
      </w:r>
    </w:p>
    <w:tbl>
      <w:tblPr>
        <w:tblStyle w:val="TableGrid"/>
        <w:tblW w:w="0" w:type="auto"/>
        <w:tblCellMar>
          <w:left w:w="43" w:type="dxa"/>
          <w:right w:w="43" w:type="dxa"/>
        </w:tblCellMar>
        <w:tblLook w:val="04A0" w:firstRow="1" w:lastRow="0" w:firstColumn="1" w:lastColumn="0" w:noHBand="0" w:noVBand="1"/>
      </w:tblPr>
      <w:tblGrid>
        <w:gridCol w:w="815"/>
        <w:gridCol w:w="4235"/>
        <w:gridCol w:w="2530"/>
        <w:gridCol w:w="1395"/>
        <w:gridCol w:w="1325"/>
        <w:gridCol w:w="1325"/>
        <w:gridCol w:w="1325"/>
      </w:tblGrid>
      <w:tr w:rsidR="0021382B" w:rsidRPr="0083254F" w14:paraId="3CBC6D5C" w14:textId="77777777" w:rsidTr="0021382B">
        <w:tc>
          <w:tcPr>
            <w:tcW w:w="12950" w:type="dxa"/>
            <w:gridSpan w:val="7"/>
            <w:shd w:val="clear" w:color="auto" w:fill="002060"/>
          </w:tcPr>
          <w:p w14:paraId="7E3B1C5F" w14:textId="55D4135B" w:rsidR="0021382B" w:rsidRPr="0083254F" w:rsidRDefault="0021382B" w:rsidP="0021382B">
            <w:pPr>
              <w:rPr>
                <w:b/>
                <w:color w:val="FFFF00"/>
                <w:sz w:val="24"/>
                <w:szCs w:val="24"/>
                <w:lang w:val="en-GB"/>
              </w:rPr>
            </w:pPr>
            <w:r w:rsidRPr="0083254F">
              <w:rPr>
                <w:b/>
                <w:color w:val="FFFF00"/>
                <w:sz w:val="24"/>
                <w:szCs w:val="24"/>
                <w:u w:val="single"/>
                <w:lang w:val="en-GB"/>
              </w:rPr>
              <w:t>Outcome 1:</w:t>
            </w:r>
            <w:r w:rsidRPr="0083254F">
              <w:rPr>
                <w:b/>
                <w:color w:val="FFFF00"/>
                <w:sz w:val="24"/>
                <w:szCs w:val="24"/>
                <w:lang w:val="en-GB"/>
              </w:rPr>
              <w:t xml:space="preserve"> Enhanced </w:t>
            </w:r>
            <w:r w:rsidR="00292057">
              <w:rPr>
                <w:b/>
                <w:color w:val="FFFF00"/>
                <w:sz w:val="24"/>
                <w:szCs w:val="24"/>
                <w:lang w:val="en-GB"/>
              </w:rPr>
              <w:t xml:space="preserve">inclusive </w:t>
            </w:r>
            <w:r w:rsidRPr="0083254F">
              <w:rPr>
                <w:b/>
                <w:color w:val="FFFF00"/>
                <w:sz w:val="24"/>
                <w:szCs w:val="24"/>
                <w:lang w:val="en-GB"/>
              </w:rPr>
              <w:t>financial markets and local development finance systems</w:t>
            </w:r>
            <w:r w:rsidR="00991B8E">
              <w:rPr>
                <w:b/>
                <w:color w:val="FFFF00"/>
                <w:sz w:val="24"/>
                <w:szCs w:val="24"/>
                <w:lang w:val="en-GB"/>
              </w:rPr>
              <w:t xml:space="preserve"> that benefit poor and vulnerable populations</w:t>
            </w:r>
          </w:p>
        </w:tc>
      </w:tr>
      <w:tr w:rsidR="0021382B" w:rsidRPr="0083254F" w14:paraId="4D15DECE" w14:textId="77777777" w:rsidTr="00B56D94">
        <w:tc>
          <w:tcPr>
            <w:tcW w:w="5050" w:type="dxa"/>
            <w:gridSpan w:val="2"/>
            <w:shd w:val="clear" w:color="auto" w:fill="F2F2F2" w:themeFill="background1" w:themeFillShade="F2"/>
          </w:tcPr>
          <w:p w14:paraId="23BC3E36" w14:textId="77777777" w:rsidR="0021382B" w:rsidRPr="0083254F" w:rsidRDefault="0021382B" w:rsidP="0021382B">
            <w:pPr>
              <w:rPr>
                <w:b/>
                <w:lang w:val="en-GB"/>
              </w:rPr>
            </w:pPr>
            <w:r w:rsidRPr="0083254F">
              <w:rPr>
                <w:b/>
                <w:lang w:val="en-GB"/>
              </w:rPr>
              <w:t>Outcome indicators</w:t>
            </w:r>
          </w:p>
        </w:tc>
        <w:tc>
          <w:tcPr>
            <w:tcW w:w="2530" w:type="dxa"/>
            <w:shd w:val="clear" w:color="auto" w:fill="F2F2F2" w:themeFill="background1" w:themeFillShade="F2"/>
          </w:tcPr>
          <w:p w14:paraId="07AB64A7" w14:textId="0DB29E06" w:rsidR="0021382B" w:rsidRPr="0083254F" w:rsidRDefault="0021382B" w:rsidP="0021382B">
            <w:pPr>
              <w:jc w:val="center"/>
              <w:rPr>
                <w:b/>
                <w:lang w:val="en-GB"/>
              </w:rPr>
            </w:pPr>
            <w:r w:rsidRPr="0083254F">
              <w:rPr>
                <w:b/>
                <w:lang w:val="en-GB"/>
              </w:rPr>
              <w:t>Baselin</w:t>
            </w:r>
            <w:r w:rsidRPr="00C10384">
              <w:rPr>
                <w:b/>
                <w:lang w:val="en-GB"/>
              </w:rPr>
              <w:t>e</w:t>
            </w:r>
            <w:r w:rsidR="00473341" w:rsidRPr="00C10384">
              <w:rPr>
                <w:rStyle w:val="FootnoteReference"/>
                <w:b/>
                <w:color w:val="auto"/>
                <w:lang w:val="en-GB"/>
              </w:rPr>
              <w:footnoteReference w:id="3"/>
            </w:r>
          </w:p>
        </w:tc>
        <w:tc>
          <w:tcPr>
            <w:tcW w:w="1395" w:type="dxa"/>
            <w:shd w:val="clear" w:color="auto" w:fill="F2F2F2" w:themeFill="background1" w:themeFillShade="F2"/>
          </w:tcPr>
          <w:p w14:paraId="554115A3" w14:textId="77777777" w:rsidR="0021382B" w:rsidRPr="0083254F" w:rsidRDefault="0021382B" w:rsidP="0021382B">
            <w:pPr>
              <w:jc w:val="center"/>
              <w:rPr>
                <w:b/>
                <w:lang w:val="en-GB"/>
              </w:rPr>
            </w:pPr>
            <w:r w:rsidRPr="0083254F">
              <w:rPr>
                <w:b/>
                <w:lang w:val="en-GB"/>
              </w:rPr>
              <w:t>2018 Target</w:t>
            </w:r>
          </w:p>
        </w:tc>
        <w:tc>
          <w:tcPr>
            <w:tcW w:w="1325" w:type="dxa"/>
            <w:shd w:val="clear" w:color="auto" w:fill="F2F2F2" w:themeFill="background1" w:themeFillShade="F2"/>
          </w:tcPr>
          <w:p w14:paraId="3CE7E62E" w14:textId="77777777" w:rsidR="0021382B" w:rsidRPr="0083254F" w:rsidRDefault="0021382B" w:rsidP="0021382B">
            <w:pPr>
              <w:jc w:val="center"/>
              <w:rPr>
                <w:b/>
                <w:lang w:val="en-GB"/>
              </w:rPr>
            </w:pPr>
            <w:r w:rsidRPr="0083254F">
              <w:rPr>
                <w:b/>
                <w:lang w:val="en-GB"/>
              </w:rPr>
              <w:t>2019 Target</w:t>
            </w:r>
          </w:p>
        </w:tc>
        <w:tc>
          <w:tcPr>
            <w:tcW w:w="1325" w:type="dxa"/>
            <w:shd w:val="clear" w:color="auto" w:fill="F2F2F2" w:themeFill="background1" w:themeFillShade="F2"/>
          </w:tcPr>
          <w:p w14:paraId="277655FE" w14:textId="77777777" w:rsidR="0021382B" w:rsidRPr="0083254F" w:rsidRDefault="0021382B" w:rsidP="0021382B">
            <w:pPr>
              <w:jc w:val="center"/>
              <w:rPr>
                <w:b/>
                <w:lang w:val="en-GB"/>
              </w:rPr>
            </w:pPr>
            <w:r w:rsidRPr="0083254F">
              <w:rPr>
                <w:b/>
                <w:lang w:val="en-GB"/>
              </w:rPr>
              <w:t>2020 Target</w:t>
            </w:r>
          </w:p>
        </w:tc>
        <w:tc>
          <w:tcPr>
            <w:tcW w:w="1325" w:type="dxa"/>
            <w:shd w:val="clear" w:color="auto" w:fill="F2F2F2" w:themeFill="background1" w:themeFillShade="F2"/>
          </w:tcPr>
          <w:p w14:paraId="01CDBE9B" w14:textId="77777777" w:rsidR="0021382B" w:rsidRPr="0083254F" w:rsidRDefault="0021382B" w:rsidP="0021382B">
            <w:pPr>
              <w:jc w:val="center"/>
              <w:rPr>
                <w:b/>
                <w:lang w:val="en-GB"/>
              </w:rPr>
            </w:pPr>
            <w:r w:rsidRPr="0083254F">
              <w:rPr>
                <w:b/>
                <w:lang w:val="en-GB"/>
              </w:rPr>
              <w:t>2021 Target</w:t>
            </w:r>
          </w:p>
        </w:tc>
      </w:tr>
      <w:tr w:rsidR="00860C66" w:rsidRPr="0083254F" w14:paraId="075074DC" w14:textId="77777777" w:rsidTr="00B56D94">
        <w:tc>
          <w:tcPr>
            <w:tcW w:w="815" w:type="dxa"/>
            <w:vMerge w:val="restart"/>
          </w:tcPr>
          <w:p w14:paraId="5B115BE7" w14:textId="77777777" w:rsidR="00860C66" w:rsidRPr="0083254F" w:rsidRDefault="00C96C3B" w:rsidP="0021382B">
            <w:pPr>
              <w:rPr>
                <w:lang w:val="en-GB"/>
              </w:rPr>
            </w:pPr>
            <w:r>
              <w:rPr>
                <w:lang w:val="en-GB"/>
              </w:rPr>
              <w:t>1.1</w:t>
            </w:r>
          </w:p>
        </w:tc>
        <w:tc>
          <w:tcPr>
            <w:tcW w:w="4235" w:type="dxa"/>
          </w:tcPr>
          <w:p w14:paraId="43FFA04F" w14:textId="7DB0F679" w:rsidR="00860C66" w:rsidRPr="0083254F" w:rsidRDefault="00C67E46" w:rsidP="0021382B">
            <w:pPr>
              <w:tabs>
                <w:tab w:val="left" w:pos="2278"/>
              </w:tabs>
              <w:rPr>
                <w:lang w:val="en-GB"/>
              </w:rPr>
            </w:pPr>
            <w:r>
              <w:rPr>
                <w:lang w:val="en-GB"/>
              </w:rPr>
              <w:t>N</w:t>
            </w:r>
            <w:r w:rsidR="00860C66" w:rsidRPr="0083254F">
              <w:rPr>
                <w:lang w:val="en-GB"/>
              </w:rPr>
              <w:t xml:space="preserve">ew or improved financial products a) piloted and b) scaled </w:t>
            </w:r>
            <w:r w:rsidR="00A84EF4">
              <w:rPr>
                <w:lang w:val="en-GB"/>
              </w:rPr>
              <w:t xml:space="preserve">up </w:t>
            </w:r>
            <w:r w:rsidR="00860C66" w:rsidRPr="0083254F">
              <w:rPr>
                <w:lang w:val="en-GB"/>
              </w:rPr>
              <w:t xml:space="preserve">by UNCDF-supported FSPs </w:t>
            </w:r>
          </w:p>
        </w:tc>
        <w:tc>
          <w:tcPr>
            <w:tcW w:w="2530" w:type="dxa"/>
          </w:tcPr>
          <w:p w14:paraId="40B5C60C" w14:textId="1B6F21DA" w:rsidR="00860C66" w:rsidRPr="0083254F" w:rsidRDefault="00860C66" w:rsidP="0021382B">
            <w:pPr>
              <w:rPr>
                <w:lang w:val="en-GB"/>
              </w:rPr>
            </w:pPr>
            <w:r w:rsidRPr="0083254F">
              <w:rPr>
                <w:lang w:val="en-GB"/>
              </w:rPr>
              <w:t>a)</w:t>
            </w:r>
            <w:r w:rsidR="00473341">
              <w:rPr>
                <w:lang w:val="en-GB"/>
              </w:rPr>
              <w:t xml:space="preserve"> 32</w:t>
            </w:r>
          </w:p>
          <w:p w14:paraId="187BA1EA" w14:textId="3C536F82" w:rsidR="00860C66" w:rsidRPr="0083254F" w:rsidRDefault="00860C66" w:rsidP="0021382B">
            <w:pPr>
              <w:rPr>
                <w:lang w:val="en-GB"/>
              </w:rPr>
            </w:pPr>
            <w:r w:rsidRPr="0083254F">
              <w:rPr>
                <w:lang w:val="en-GB"/>
              </w:rPr>
              <w:t>b)</w:t>
            </w:r>
            <w:r w:rsidR="00473341">
              <w:rPr>
                <w:lang w:val="en-GB"/>
              </w:rPr>
              <w:t xml:space="preserve"> 30</w:t>
            </w:r>
          </w:p>
        </w:tc>
        <w:tc>
          <w:tcPr>
            <w:tcW w:w="1395" w:type="dxa"/>
          </w:tcPr>
          <w:p w14:paraId="59FF4288" w14:textId="0747C9AE" w:rsidR="00860C66" w:rsidRPr="0083254F" w:rsidRDefault="00860C66" w:rsidP="00860C66">
            <w:pPr>
              <w:rPr>
                <w:lang w:val="en-GB"/>
              </w:rPr>
            </w:pPr>
            <w:r w:rsidRPr="0083254F">
              <w:rPr>
                <w:lang w:val="en-GB"/>
              </w:rPr>
              <w:t>a)</w:t>
            </w:r>
            <w:r w:rsidR="00473341">
              <w:rPr>
                <w:lang w:val="en-GB"/>
              </w:rPr>
              <w:t xml:space="preserve"> 15</w:t>
            </w:r>
          </w:p>
          <w:p w14:paraId="30A841E9" w14:textId="060C0196" w:rsidR="00860C66" w:rsidRPr="0083254F" w:rsidRDefault="00860C66" w:rsidP="00860C66">
            <w:pPr>
              <w:rPr>
                <w:lang w:val="en-GB"/>
              </w:rPr>
            </w:pPr>
            <w:r w:rsidRPr="0083254F">
              <w:rPr>
                <w:lang w:val="en-GB"/>
              </w:rPr>
              <w:t>b)</w:t>
            </w:r>
            <w:r w:rsidR="00473341">
              <w:rPr>
                <w:lang w:val="en-GB"/>
              </w:rPr>
              <w:t xml:space="preserve"> </w:t>
            </w:r>
            <w:r w:rsidR="00AC6409">
              <w:rPr>
                <w:lang w:val="en-GB"/>
              </w:rPr>
              <w:t>7</w:t>
            </w:r>
          </w:p>
        </w:tc>
        <w:tc>
          <w:tcPr>
            <w:tcW w:w="1325" w:type="dxa"/>
          </w:tcPr>
          <w:p w14:paraId="41F54DB4" w14:textId="38342785" w:rsidR="00860C66" w:rsidRPr="0083254F" w:rsidRDefault="00860C66" w:rsidP="00860C66">
            <w:pPr>
              <w:rPr>
                <w:lang w:val="en-GB"/>
              </w:rPr>
            </w:pPr>
            <w:r w:rsidRPr="0083254F">
              <w:rPr>
                <w:lang w:val="en-GB"/>
              </w:rPr>
              <w:t>a)</w:t>
            </w:r>
            <w:r w:rsidR="00473341">
              <w:rPr>
                <w:lang w:val="en-GB"/>
              </w:rPr>
              <w:t xml:space="preserve"> 19</w:t>
            </w:r>
          </w:p>
          <w:p w14:paraId="7AB2C5DC" w14:textId="1BCF5108" w:rsidR="00860C66" w:rsidRPr="0083254F" w:rsidRDefault="00860C66" w:rsidP="00860C66">
            <w:pPr>
              <w:rPr>
                <w:lang w:val="en-GB"/>
              </w:rPr>
            </w:pPr>
            <w:r w:rsidRPr="0083254F">
              <w:rPr>
                <w:lang w:val="en-GB"/>
              </w:rPr>
              <w:t>b)</w:t>
            </w:r>
            <w:r w:rsidR="00473341">
              <w:rPr>
                <w:lang w:val="en-GB"/>
              </w:rPr>
              <w:t xml:space="preserve"> 1</w:t>
            </w:r>
            <w:r w:rsidR="00AC6409">
              <w:rPr>
                <w:lang w:val="en-GB"/>
              </w:rPr>
              <w:t>0</w:t>
            </w:r>
          </w:p>
        </w:tc>
        <w:tc>
          <w:tcPr>
            <w:tcW w:w="1325" w:type="dxa"/>
          </w:tcPr>
          <w:p w14:paraId="375D7019" w14:textId="15E0C4B4" w:rsidR="00860C66" w:rsidRPr="0083254F" w:rsidRDefault="00860C66" w:rsidP="00860C66">
            <w:pPr>
              <w:rPr>
                <w:lang w:val="en-GB"/>
              </w:rPr>
            </w:pPr>
            <w:r w:rsidRPr="0083254F">
              <w:rPr>
                <w:lang w:val="en-GB"/>
              </w:rPr>
              <w:t>a)</w:t>
            </w:r>
            <w:r w:rsidR="00473341">
              <w:rPr>
                <w:lang w:val="en-GB"/>
              </w:rPr>
              <w:t xml:space="preserve"> 23</w:t>
            </w:r>
          </w:p>
          <w:p w14:paraId="16A24D92" w14:textId="19B3227E" w:rsidR="00860C66" w:rsidRPr="0083254F" w:rsidRDefault="00860C66" w:rsidP="00860C66">
            <w:pPr>
              <w:rPr>
                <w:lang w:val="en-GB"/>
              </w:rPr>
            </w:pPr>
            <w:r w:rsidRPr="0083254F">
              <w:rPr>
                <w:lang w:val="en-GB"/>
              </w:rPr>
              <w:t>b)</w:t>
            </w:r>
            <w:r w:rsidR="00473341">
              <w:rPr>
                <w:lang w:val="en-GB"/>
              </w:rPr>
              <w:t xml:space="preserve"> 1</w:t>
            </w:r>
            <w:r w:rsidR="00AC6409">
              <w:rPr>
                <w:lang w:val="en-GB"/>
              </w:rPr>
              <w:t>4</w:t>
            </w:r>
          </w:p>
        </w:tc>
        <w:tc>
          <w:tcPr>
            <w:tcW w:w="1325" w:type="dxa"/>
          </w:tcPr>
          <w:p w14:paraId="6B868F63" w14:textId="5B20B470" w:rsidR="00860C66" w:rsidRPr="0083254F" w:rsidRDefault="00860C66" w:rsidP="00860C66">
            <w:pPr>
              <w:rPr>
                <w:lang w:val="en-GB"/>
              </w:rPr>
            </w:pPr>
            <w:r w:rsidRPr="0083254F">
              <w:rPr>
                <w:lang w:val="en-GB"/>
              </w:rPr>
              <w:t>a)</w:t>
            </w:r>
            <w:r w:rsidR="00473341">
              <w:rPr>
                <w:lang w:val="en-GB"/>
              </w:rPr>
              <w:t xml:space="preserve"> 2</w:t>
            </w:r>
            <w:r w:rsidR="0042744D">
              <w:rPr>
                <w:lang w:val="en-GB"/>
              </w:rPr>
              <w:t>7</w:t>
            </w:r>
          </w:p>
          <w:p w14:paraId="2437AF65" w14:textId="79ECA522" w:rsidR="00860C66" w:rsidRPr="0083254F" w:rsidRDefault="00860C66" w:rsidP="00860C66">
            <w:pPr>
              <w:rPr>
                <w:lang w:val="en-GB"/>
              </w:rPr>
            </w:pPr>
            <w:r w:rsidRPr="0083254F">
              <w:rPr>
                <w:lang w:val="en-GB"/>
              </w:rPr>
              <w:t>b)</w:t>
            </w:r>
            <w:r w:rsidR="00473341">
              <w:rPr>
                <w:lang w:val="en-GB"/>
              </w:rPr>
              <w:t xml:space="preserve"> </w:t>
            </w:r>
            <w:r w:rsidR="0042744D">
              <w:rPr>
                <w:lang w:val="en-GB"/>
              </w:rPr>
              <w:t>1</w:t>
            </w:r>
            <w:r w:rsidR="00AC6409">
              <w:rPr>
                <w:lang w:val="en-GB"/>
              </w:rPr>
              <w:t>7</w:t>
            </w:r>
          </w:p>
        </w:tc>
      </w:tr>
      <w:tr w:rsidR="00860C66" w:rsidRPr="0083254F" w14:paraId="201C6C8C" w14:textId="77777777" w:rsidTr="00BD3C8E">
        <w:tc>
          <w:tcPr>
            <w:tcW w:w="815" w:type="dxa"/>
            <w:vMerge/>
          </w:tcPr>
          <w:p w14:paraId="349FD41E" w14:textId="77777777" w:rsidR="00860C66" w:rsidRPr="0083254F" w:rsidRDefault="00860C66" w:rsidP="0021382B">
            <w:pPr>
              <w:rPr>
                <w:lang w:val="en-GB"/>
              </w:rPr>
            </w:pPr>
          </w:p>
        </w:tc>
        <w:tc>
          <w:tcPr>
            <w:tcW w:w="12135" w:type="dxa"/>
            <w:gridSpan w:val="6"/>
            <w:shd w:val="clear" w:color="auto" w:fill="D0CECE" w:themeFill="background2" w:themeFillShade="E6"/>
          </w:tcPr>
          <w:p w14:paraId="72996594" w14:textId="77777777" w:rsidR="00C96C3B" w:rsidRPr="0083254F" w:rsidRDefault="00C96C3B" w:rsidP="00C96C3B">
            <w:pPr>
              <w:rPr>
                <w:lang w:val="en-GB"/>
              </w:rPr>
            </w:pPr>
            <w:r w:rsidRPr="0083254F">
              <w:rPr>
                <w:b/>
                <w:lang w:val="en-GB"/>
              </w:rPr>
              <w:t xml:space="preserve">Corresponding SDG target: </w:t>
            </w:r>
            <w:r w:rsidRPr="0083254F">
              <w:rPr>
                <w:b/>
                <w:u w:val="single"/>
                <w:lang w:val="en-GB"/>
              </w:rPr>
              <w:t>1.4</w:t>
            </w:r>
            <w:r w:rsidRPr="0083254F">
              <w:rPr>
                <w:lang w:val="en-GB"/>
              </w:rPr>
              <w:t xml:space="preserve">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 </w:t>
            </w:r>
            <w:r w:rsidRPr="0083254F">
              <w:rPr>
                <w:b/>
                <w:u w:val="single"/>
                <w:lang w:val="en-GB"/>
              </w:rPr>
              <w:t>5.a</w:t>
            </w:r>
            <w:r w:rsidRPr="0083254F">
              <w:rPr>
                <w:lang w:val="en-GB"/>
              </w:rPr>
              <w:t xml:space="preserve"> Undertake reforms to give women equal rights to economic resources, as well as access to ownership and control over land and other forms of property, financial services, inheritance and natural resources, in accordance with national laws; </w:t>
            </w:r>
            <w:r w:rsidRPr="0083254F">
              <w:rPr>
                <w:b/>
                <w:u w:val="single"/>
                <w:lang w:val="en-GB"/>
              </w:rPr>
              <w:t>8.10</w:t>
            </w:r>
            <w:r w:rsidRPr="0083254F">
              <w:rPr>
                <w:lang w:val="en-GB"/>
              </w:rPr>
              <w:t xml:space="preserve"> Strengthen the capacity of domestic financial institutions to encourage and expand access to banking, insurance and financial services for all.</w:t>
            </w:r>
          </w:p>
          <w:p w14:paraId="01DAC113" w14:textId="77777777" w:rsidR="00860C66" w:rsidRPr="0083254F" w:rsidRDefault="00860C66" w:rsidP="00860C66">
            <w:pPr>
              <w:rPr>
                <w:lang w:val="en-GB"/>
              </w:rPr>
            </w:pPr>
            <w:r w:rsidRPr="0083254F">
              <w:rPr>
                <w:b/>
                <w:lang w:val="en-GB"/>
              </w:rPr>
              <w:t>Related UNCDF IRRM 2014-2017 indicator:</w:t>
            </w:r>
            <w:r w:rsidRPr="0083254F">
              <w:rPr>
                <w:lang w:val="en-GB"/>
              </w:rPr>
              <w:t xml:space="preserve"> Combined Outcome indicator 2.b and Output indicator 2.1.1</w:t>
            </w:r>
          </w:p>
          <w:p w14:paraId="402DB55E" w14:textId="77777777" w:rsidR="00860C66" w:rsidRPr="0083254F" w:rsidRDefault="00860C66" w:rsidP="00860C66">
            <w:pPr>
              <w:rPr>
                <w:lang w:val="en-GB"/>
              </w:rPr>
            </w:pPr>
            <w:r w:rsidRPr="0083254F">
              <w:rPr>
                <w:b/>
                <w:lang w:val="en-GB"/>
              </w:rPr>
              <w:t xml:space="preserve">Data source: </w:t>
            </w:r>
            <w:r w:rsidRPr="0083254F">
              <w:rPr>
                <w:lang w:val="en-GB"/>
              </w:rPr>
              <w:t>FSPs survey; Project reports</w:t>
            </w:r>
          </w:p>
          <w:p w14:paraId="3493AB39" w14:textId="00E65F22" w:rsidR="00860C66" w:rsidRPr="0083254F" w:rsidRDefault="00860C66" w:rsidP="00860C66">
            <w:pPr>
              <w:rPr>
                <w:lang w:val="en-GB"/>
              </w:rPr>
            </w:pPr>
            <w:r w:rsidRPr="0083254F">
              <w:rPr>
                <w:b/>
                <w:lang w:val="en-GB"/>
              </w:rPr>
              <w:t>Approach to the indicator</w:t>
            </w:r>
            <w:r w:rsidR="00BD3C8E">
              <w:rPr>
                <w:b/>
                <w:lang w:val="en-GB"/>
              </w:rPr>
              <w:t xml:space="preserve"> (incremental)</w:t>
            </w:r>
            <w:r w:rsidRPr="0083254F">
              <w:rPr>
                <w:b/>
                <w:lang w:val="en-GB"/>
              </w:rPr>
              <w:t xml:space="preserve">: </w:t>
            </w:r>
            <w:r w:rsidRPr="0083254F">
              <w:rPr>
                <w:lang w:val="en-GB"/>
              </w:rPr>
              <w:t>Scaled products indicate products continuing beyond the piloting stage</w:t>
            </w:r>
            <w:r w:rsidR="002039D2">
              <w:rPr>
                <w:lang w:val="en-GB"/>
              </w:rPr>
              <w:t xml:space="preserve"> </w:t>
            </w:r>
            <w:r w:rsidR="009A4027">
              <w:rPr>
                <w:lang w:val="en-GB"/>
              </w:rPr>
              <w:t xml:space="preserve">and involves increasing the geographic outreach, target client outreach and/or increasing the </w:t>
            </w:r>
            <w:r w:rsidR="00A84EF4">
              <w:rPr>
                <w:lang w:val="en-GB"/>
              </w:rPr>
              <w:t xml:space="preserve">institutional scale of the product compared to the pilot stage. The exact definition of ‘scale up’ will depend on the programme and country context.  </w:t>
            </w:r>
            <w:r w:rsidR="002039D2">
              <w:rPr>
                <w:lang w:val="en-GB"/>
              </w:rPr>
              <w:t xml:space="preserve"> </w:t>
            </w:r>
          </w:p>
        </w:tc>
      </w:tr>
      <w:tr w:rsidR="00860C66" w:rsidRPr="0083254F" w14:paraId="5709AD87" w14:textId="77777777" w:rsidTr="00B56D94">
        <w:tc>
          <w:tcPr>
            <w:tcW w:w="815" w:type="dxa"/>
            <w:vMerge w:val="restart"/>
          </w:tcPr>
          <w:p w14:paraId="7D7CEB3B" w14:textId="77777777" w:rsidR="00860C66" w:rsidRPr="0083254F" w:rsidRDefault="00C96C3B" w:rsidP="0021382B">
            <w:pPr>
              <w:rPr>
                <w:lang w:val="en-GB"/>
              </w:rPr>
            </w:pPr>
            <w:r>
              <w:rPr>
                <w:lang w:val="en-GB"/>
              </w:rPr>
              <w:t>1.2</w:t>
            </w:r>
          </w:p>
        </w:tc>
        <w:tc>
          <w:tcPr>
            <w:tcW w:w="4235" w:type="dxa"/>
          </w:tcPr>
          <w:p w14:paraId="3C59355D" w14:textId="74DD8E51" w:rsidR="00860C66" w:rsidRPr="0083254F" w:rsidRDefault="00C67E46" w:rsidP="0021382B">
            <w:pPr>
              <w:rPr>
                <w:lang w:val="en-GB"/>
              </w:rPr>
            </w:pPr>
            <w:r>
              <w:rPr>
                <w:lang w:val="en-GB"/>
              </w:rPr>
              <w:t>A</w:t>
            </w:r>
            <w:r w:rsidR="00860C66" w:rsidRPr="0083254F">
              <w:rPr>
                <w:lang w:val="en-GB"/>
              </w:rPr>
              <w:t>ctive clients reached by UNCDF-supported FSPs disaggregated by products and sex</w:t>
            </w:r>
            <w:r w:rsidR="00473341">
              <w:rPr>
                <w:lang w:val="en-GB"/>
              </w:rPr>
              <w:t xml:space="preserve"> </w:t>
            </w:r>
          </w:p>
        </w:tc>
        <w:tc>
          <w:tcPr>
            <w:tcW w:w="2530" w:type="dxa"/>
          </w:tcPr>
          <w:p w14:paraId="443DBD09" w14:textId="20DC5F17" w:rsidR="00473341" w:rsidRPr="00C10384" w:rsidRDefault="00473341" w:rsidP="0021382B">
            <w:pPr>
              <w:rPr>
                <w:sz w:val="20"/>
                <w:szCs w:val="20"/>
                <w:lang w:val="en-GB"/>
              </w:rPr>
            </w:pPr>
            <w:r w:rsidRPr="00C10384">
              <w:rPr>
                <w:sz w:val="20"/>
                <w:szCs w:val="20"/>
                <w:lang w:val="en-GB"/>
              </w:rPr>
              <w:t xml:space="preserve">a) savings: </w:t>
            </w:r>
            <w:r w:rsidR="00B40BA5" w:rsidRPr="00C10384">
              <w:rPr>
                <w:sz w:val="20"/>
                <w:szCs w:val="20"/>
                <w:lang w:val="en-GB"/>
              </w:rPr>
              <w:t>3.1m</w:t>
            </w:r>
            <w:r w:rsidRPr="00C10384">
              <w:rPr>
                <w:sz w:val="20"/>
                <w:szCs w:val="20"/>
                <w:lang w:val="en-GB"/>
              </w:rPr>
              <w:t xml:space="preserve"> (44%)</w:t>
            </w:r>
            <w:r w:rsidR="009B2F24" w:rsidRPr="00C10384">
              <w:rPr>
                <w:rStyle w:val="FootnoteReference"/>
                <w:color w:val="auto"/>
                <w:szCs w:val="20"/>
                <w:lang w:val="en-GB"/>
              </w:rPr>
              <w:footnoteReference w:id="4"/>
            </w:r>
          </w:p>
          <w:p w14:paraId="62F74214" w14:textId="4138B0A0" w:rsidR="00860C66" w:rsidRPr="00C10384" w:rsidRDefault="00473341" w:rsidP="0021382B">
            <w:pPr>
              <w:rPr>
                <w:sz w:val="20"/>
                <w:szCs w:val="20"/>
                <w:lang w:val="en-GB"/>
              </w:rPr>
            </w:pPr>
            <w:r w:rsidRPr="00C10384">
              <w:rPr>
                <w:sz w:val="20"/>
                <w:szCs w:val="20"/>
                <w:lang w:val="en-GB"/>
              </w:rPr>
              <w:t xml:space="preserve">b) loans: </w:t>
            </w:r>
            <w:r w:rsidR="00B40BA5" w:rsidRPr="00C10384">
              <w:rPr>
                <w:sz w:val="20"/>
                <w:szCs w:val="20"/>
                <w:lang w:val="en-GB"/>
              </w:rPr>
              <w:t>1.7m</w:t>
            </w:r>
            <w:r w:rsidRPr="00C10384">
              <w:rPr>
                <w:sz w:val="20"/>
                <w:szCs w:val="20"/>
                <w:lang w:val="en-GB"/>
              </w:rPr>
              <w:t xml:space="preserve"> (54%)</w:t>
            </w:r>
          </w:p>
          <w:p w14:paraId="562DA27A" w14:textId="5A6E5286" w:rsidR="00473341" w:rsidRPr="00C10384" w:rsidRDefault="00473341" w:rsidP="0021382B">
            <w:pPr>
              <w:rPr>
                <w:sz w:val="20"/>
                <w:szCs w:val="20"/>
                <w:lang w:val="en-GB"/>
              </w:rPr>
            </w:pPr>
            <w:r w:rsidRPr="00C10384">
              <w:rPr>
                <w:sz w:val="20"/>
                <w:szCs w:val="20"/>
                <w:lang w:val="en-GB"/>
              </w:rPr>
              <w:t>c) payment: 11</w:t>
            </w:r>
            <w:r w:rsidR="00B40BA5" w:rsidRPr="00C10384">
              <w:rPr>
                <w:sz w:val="20"/>
                <w:szCs w:val="20"/>
                <w:lang w:val="en-GB"/>
              </w:rPr>
              <w:t>m</w:t>
            </w:r>
            <w:r w:rsidRPr="00C10384">
              <w:rPr>
                <w:sz w:val="20"/>
                <w:szCs w:val="20"/>
                <w:lang w:val="en-GB"/>
              </w:rPr>
              <w:t xml:space="preserve"> (37%)</w:t>
            </w:r>
          </w:p>
          <w:p w14:paraId="352C8175" w14:textId="44F69992" w:rsidR="00473341" w:rsidRPr="00C10384" w:rsidRDefault="00473341" w:rsidP="0021382B">
            <w:pPr>
              <w:rPr>
                <w:sz w:val="20"/>
                <w:szCs w:val="20"/>
                <w:lang w:val="en-GB"/>
              </w:rPr>
            </w:pPr>
            <w:r w:rsidRPr="00C10384">
              <w:rPr>
                <w:sz w:val="20"/>
                <w:szCs w:val="20"/>
                <w:lang w:val="en-GB"/>
              </w:rPr>
              <w:t xml:space="preserve">d) insurance: </w:t>
            </w:r>
            <w:r w:rsidR="00B40BA5" w:rsidRPr="00C10384">
              <w:rPr>
                <w:sz w:val="20"/>
                <w:szCs w:val="20"/>
                <w:lang w:val="en-GB"/>
              </w:rPr>
              <w:t xml:space="preserve">0.26m </w:t>
            </w:r>
            <w:r w:rsidRPr="00C10384">
              <w:rPr>
                <w:sz w:val="20"/>
                <w:szCs w:val="20"/>
                <w:lang w:val="en-GB"/>
              </w:rPr>
              <w:t>(35%)</w:t>
            </w:r>
          </w:p>
        </w:tc>
        <w:tc>
          <w:tcPr>
            <w:tcW w:w="1395" w:type="dxa"/>
          </w:tcPr>
          <w:p w14:paraId="6BAF2969" w14:textId="36DCC31A" w:rsidR="00860C66" w:rsidRPr="00C10384" w:rsidRDefault="00473341" w:rsidP="00860C66">
            <w:pPr>
              <w:rPr>
                <w:sz w:val="20"/>
                <w:szCs w:val="20"/>
                <w:lang w:val="en-GB"/>
              </w:rPr>
            </w:pPr>
            <w:r w:rsidRPr="00C10384">
              <w:rPr>
                <w:sz w:val="20"/>
                <w:szCs w:val="20"/>
                <w:lang w:val="en-GB"/>
              </w:rPr>
              <w:t xml:space="preserve">a) </w:t>
            </w:r>
            <w:r w:rsidR="00B40BA5" w:rsidRPr="00C10384">
              <w:rPr>
                <w:sz w:val="20"/>
                <w:szCs w:val="20"/>
                <w:lang w:val="en-GB"/>
              </w:rPr>
              <w:t>3.7</w:t>
            </w:r>
            <w:r w:rsidRPr="00C10384">
              <w:rPr>
                <w:sz w:val="20"/>
                <w:szCs w:val="20"/>
                <w:lang w:val="en-GB"/>
              </w:rPr>
              <w:t>m (46%)</w:t>
            </w:r>
          </w:p>
          <w:p w14:paraId="6E3F17F2" w14:textId="5384AC84" w:rsidR="00473341" w:rsidRPr="00C10384" w:rsidRDefault="00473341" w:rsidP="00860C66">
            <w:pPr>
              <w:rPr>
                <w:sz w:val="20"/>
                <w:szCs w:val="20"/>
                <w:lang w:val="en-GB"/>
              </w:rPr>
            </w:pPr>
            <w:r w:rsidRPr="00C10384">
              <w:rPr>
                <w:sz w:val="20"/>
                <w:szCs w:val="20"/>
                <w:lang w:val="en-GB"/>
              </w:rPr>
              <w:t xml:space="preserve">b) </w:t>
            </w:r>
            <w:r w:rsidR="00B40BA5" w:rsidRPr="00C10384">
              <w:rPr>
                <w:sz w:val="20"/>
                <w:szCs w:val="20"/>
                <w:lang w:val="en-GB"/>
              </w:rPr>
              <w:t>2</w:t>
            </w:r>
            <w:r w:rsidRPr="00C10384">
              <w:rPr>
                <w:sz w:val="20"/>
                <w:szCs w:val="20"/>
                <w:lang w:val="en-GB"/>
              </w:rPr>
              <w:t>m (50%)</w:t>
            </w:r>
          </w:p>
          <w:p w14:paraId="7ED65D2A" w14:textId="34FE01FB" w:rsidR="00473341" w:rsidRPr="00C10384" w:rsidRDefault="00473341" w:rsidP="00860C66">
            <w:pPr>
              <w:rPr>
                <w:sz w:val="20"/>
                <w:szCs w:val="20"/>
                <w:lang w:val="en-GB"/>
              </w:rPr>
            </w:pPr>
            <w:r w:rsidRPr="00C10384">
              <w:rPr>
                <w:sz w:val="20"/>
                <w:szCs w:val="20"/>
                <w:lang w:val="en-GB"/>
              </w:rPr>
              <w:t>c) 1</w:t>
            </w:r>
            <w:r w:rsidR="00B40BA5" w:rsidRPr="00C10384">
              <w:rPr>
                <w:sz w:val="20"/>
                <w:szCs w:val="20"/>
                <w:lang w:val="en-GB"/>
              </w:rPr>
              <w:t>4</w:t>
            </w:r>
            <w:r w:rsidRPr="00C10384">
              <w:rPr>
                <w:sz w:val="20"/>
                <w:szCs w:val="20"/>
                <w:lang w:val="en-GB"/>
              </w:rPr>
              <w:t>m (42%)</w:t>
            </w:r>
          </w:p>
          <w:p w14:paraId="4DEFD1E7" w14:textId="4F730F5A" w:rsidR="00473341" w:rsidRPr="00C10384" w:rsidRDefault="00473341" w:rsidP="00860C66">
            <w:pPr>
              <w:rPr>
                <w:sz w:val="20"/>
                <w:szCs w:val="20"/>
                <w:lang w:val="en-GB"/>
              </w:rPr>
            </w:pPr>
            <w:r w:rsidRPr="00C10384">
              <w:rPr>
                <w:sz w:val="20"/>
                <w:szCs w:val="20"/>
                <w:lang w:val="en-GB"/>
              </w:rPr>
              <w:t>d) 0.</w:t>
            </w:r>
            <w:r w:rsidR="00B40BA5" w:rsidRPr="00C10384">
              <w:rPr>
                <w:sz w:val="20"/>
                <w:szCs w:val="20"/>
                <w:lang w:val="en-GB"/>
              </w:rPr>
              <w:t>35</w:t>
            </w:r>
            <w:r w:rsidRPr="00C10384">
              <w:rPr>
                <w:sz w:val="20"/>
                <w:szCs w:val="20"/>
                <w:lang w:val="en-GB"/>
              </w:rPr>
              <w:t>m (41%)</w:t>
            </w:r>
          </w:p>
        </w:tc>
        <w:tc>
          <w:tcPr>
            <w:tcW w:w="1325" w:type="dxa"/>
          </w:tcPr>
          <w:p w14:paraId="488DB6AB" w14:textId="61ACE605" w:rsidR="00473341" w:rsidRDefault="00473341" w:rsidP="00473341">
            <w:pPr>
              <w:rPr>
                <w:sz w:val="20"/>
                <w:szCs w:val="20"/>
                <w:lang w:val="en-GB"/>
              </w:rPr>
            </w:pPr>
            <w:r w:rsidRPr="00196E6C">
              <w:rPr>
                <w:sz w:val="20"/>
                <w:szCs w:val="20"/>
                <w:lang w:val="en-GB"/>
              </w:rPr>
              <w:t xml:space="preserve">a) </w:t>
            </w:r>
            <w:r w:rsidR="00B40BA5">
              <w:rPr>
                <w:sz w:val="20"/>
                <w:szCs w:val="20"/>
                <w:lang w:val="en-GB"/>
              </w:rPr>
              <w:t>4.3</w:t>
            </w:r>
            <w:r>
              <w:rPr>
                <w:sz w:val="20"/>
                <w:szCs w:val="20"/>
                <w:lang w:val="en-GB"/>
              </w:rPr>
              <w:t xml:space="preserve">m </w:t>
            </w:r>
            <w:r w:rsidRPr="00196E6C">
              <w:rPr>
                <w:sz w:val="20"/>
                <w:szCs w:val="20"/>
                <w:lang w:val="en-GB"/>
              </w:rPr>
              <w:t>(4</w:t>
            </w:r>
            <w:r>
              <w:rPr>
                <w:sz w:val="20"/>
                <w:szCs w:val="20"/>
                <w:lang w:val="en-GB"/>
              </w:rPr>
              <w:t>7</w:t>
            </w:r>
            <w:r w:rsidRPr="00196E6C">
              <w:rPr>
                <w:sz w:val="20"/>
                <w:szCs w:val="20"/>
                <w:lang w:val="en-GB"/>
              </w:rPr>
              <w:t>%)</w:t>
            </w:r>
          </w:p>
          <w:p w14:paraId="7FA5A55E" w14:textId="752DC7D8" w:rsidR="00473341" w:rsidRDefault="00473341" w:rsidP="00473341">
            <w:pPr>
              <w:rPr>
                <w:sz w:val="20"/>
                <w:szCs w:val="20"/>
                <w:lang w:val="en-GB"/>
              </w:rPr>
            </w:pPr>
            <w:r>
              <w:rPr>
                <w:sz w:val="20"/>
                <w:szCs w:val="20"/>
                <w:lang w:val="en-GB"/>
              </w:rPr>
              <w:t xml:space="preserve">b) </w:t>
            </w:r>
            <w:r w:rsidR="00B40BA5">
              <w:rPr>
                <w:sz w:val="20"/>
                <w:szCs w:val="20"/>
                <w:lang w:val="en-GB"/>
              </w:rPr>
              <w:t>2.3</w:t>
            </w:r>
            <w:r>
              <w:rPr>
                <w:sz w:val="20"/>
                <w:szCs w:val="20"/>
                <w:lang w:val="en-GB"/>
              </w:rPr>
              <w:t>m (50%)</w:t>
            </w:r>
          </w:p>
          <w:p w14:paraId="10C612E5" w14:textId="2719BE59" w:rsidR="00473341" w:rsidRDefault="00473341" w:rsidP="00473341">
            <w:pPr>
              <w:rPr>
                <w:sz w:val="20"/>
                <w:szCs w:val="20"/>
                <w:lang w:val="en-GB"/>
              </w:rPr>
            </w:pPr>
            <w:r>
              <w:rPr>
                <w:sz w:val="20"/>
                <w:szCs w:val="20"/>
                <w:lang w:val="en-GB"/>
              </w:rPr>
              <w:t xml:space="preserve">c) </w:t>
            </w:r>
            <w:r w:rsidR="00B40BA5">
              <w:rPr>
                <w:sz w:val="20"/>
                <w:szCs w:val="20"/>
                <w:lang w:val="en-GB"/>
              </w:rPr>
              <w:t>18</w:t>
            </w:r>
            <w:r>
              <w:rPr>
                <w:sz w:val="20"/>
                <w:szCs w:val="20"/>
                <w:lang w:val="en-GB"/>
              </w:rPr>
              <w:t>m (45%)</w:t>
            </w:r>
          </w:p>
          <w:p w14:paraId="3808915A" w14:textId="79F59320" w:rsidR="00860C66" w:rsidRPr="00B56D94" w:rsidRDefault="00473341" w:rsidP="00860C66">
            <w:pPr>
              <w:rPr>
                <w:sz w:val="20"/>
                <w:szCs w:val="20"/>
                <w:lang w:val="en-GB"/>
              </w:rPr>
            </w:pPr>
            <w:r>
              <w:rPr>
                <w:sz w:val="20"/>
                <w:szCs w:val="20"/>
                <w:lang w:val="en-GB"/>
              </w:rPr>
              <w:t>d) 0.</w:t>
            </w:r>
            <w:r w:rsidR="00B40BA5">
              <w:rPr>
                <w:sz w:val="20"/>
                <w:szCs w:val="20"/>
                <w:lang w:val="en-GB"/>
              </w:rPr>
              <w:t>44</w:t>
            </w:r>
            <w:r>
              <w:rPr>
                <w:sz w:val="20"/>
                <w:szCs w:val="20"/>
                <w:lang w:val="en-GB"/>
              </w:rPr>
              <w:t>m (44%)</w:t>
            </w:r>
          </w:p>
        </w:tc>
        <w:tc>
          <w:tcPr>
            <w:tcW w:w="1325" w:type="dxa"/>
          </w:tcPr>
          <w:p w14:paraId="19A39790" w14:textId="35A3C752" w:rsidR="00473341" w:rsidRDefault="00473341" w:rsidP="00473341">
            <w:pPr>
              <w:rPr>
                <w:sz w:val="20"/>
                <w:szCs w:val="20"/>
                <w:lang w:val="en-GB"/>
              </w:rPr>
            </w:pPr>
            <w:r w:rsidRPr="00196E6C">
              <w:rPr>
                <w:sz w:val="20"/>
                <w:szCs w:val="20"/>
                <w:lang w:val="en-GB"/>
              </w:rPr>
              <w:t xml:space="preserve">a) </w:t>
            </w:r>
            <w:r w:rsidR="00B40BA5">
              <w:rPr>
                <w:sz w:val="20"/>
                <w:szCs w:val="20"/>
                <w:lang w:val="en-GB"/>
              </w:rPr>
              <w:t>4.8</w:t>
            </w:r>
            <w:r>
              <w:rPr>
                <w:sz w:val="20"/>
                <w:szCs w:val="20"/>
                <w:lang w:val="en-GB"/>
              </w:rPr>
              <w:t xml:space="preserve">m </w:t>
            </w:r>
            <w:r w:rsidRPr="00196E6C">
              <w:rPr>
                <w:sz w:val="20"/>
                <w:szCs w:val="20"/>
                <w:lang w:val="en-GB"/>
              </w:rPr>
              <w:t>(4</w:t>
            </w:r>
            <w:r w:rsidR="00EE649E">
              <w:rPr>
                <w:sz w:val="20"/>
                <w:szCs w:val="20"/>
                <w:lang w:val="en-GB"/>
              </w:rPr>
              <w:t>8</w:t>
            </w:r>
            <w:r w:rsidRPr="00196E6C">
              <w:rPr>
                <w:sz w:val="20"/>
                <w:szCs w:val="20"/>
                <w:lang w:val="en-GB"/>
              </w:rPr>
              <w:t>%)</w:t>
            </w:r>
          </w:p>
          <w:p w14:paraId="33FA3931" w14:textId="52384C8C" w:rsidR="00473341" w:rsidRDefault="00473341" w:rsidP="00473341">
            <w:pPr>
              <w:rPr>
                <w:sz w:val="20"/>
                <w:szCs w:val="20"/>
                <w:lang w:val="en-GB"/>
              </w:rPr>
            </w:pPr>
            <w:r>
              <w:rPr>
                <w:sz w:val="20"/>
                <w:szCs w:val="20"/>
                <w:lang w:val="en-GB"/>
              </w:rPr>
              <w:t xml:space="preserve">b) </w:t>
            </w:r>
            <w:r w:rsidR="00B40BA5">
              <w:rPr>
                <w:sz w:val="20"/>
                <w:szCs w:val="20"/>
                <w:lang w:val="en-GB"/>
              </w:rPr>
              <w:t>2.6</w:t>
            </w:r>
            <w:r>
              <w:rPr>
                <w:sz w:val="20"/>
                <w:szCs w:val="20"/>
                <w:lang w:val="en-GB"/>
              </w:rPr>
              <w:t>m (</w:t>
            </w:r>
            <w:r w:rsidR="00EE649E">
              <w:rPr>
                <w:sz w:val="20"/>
                <w:szCs w:val="20"/>
                <w:lang w:val="en-GB"/>
              </w:rPr>
              <w:t>50</w:t>
            </w:r>
            <w:r>
              <w:rPr>
                <w:sz w:val="20"/>
                <w:szCs w:val="20"/>
                <w:lang w:val="en-GB"/>
              </w:rPr>
              <w:t>%)</w:t>
            </w:r>
          </w:p>
          <w:p w14:paraId="2170EA63" w14:textId="37CF2A12" w:rsidR="00473341" w:rsidRDefault="00473341" w:rsidP="00473341">
            <w:pPr>
              <w:rPr>
                <w:sz w:val="20"/>
                <w:szCs w:val="20"/>
                <w:lang w:val="en-GB"/>
              </w:rPr>
            </w:pPr>
            <w:r>
              <w:rPr>
                <w:sz w:val="20"/>
                <w:szCs w:val="20"/>
                <w:lang w:val="en-GB"/>
              </w:rPr>
              <w:t xml:space="preserve">c) </w:t>
            </w:r>
            <w:r w:rsidR="00B40BA5">
              <w:rPr>
                <w:sz w:val="20"/>
                <w:szCs w:val="20"/>
                <w:lang w:val="en-GB"/>
              </w:rPr>
              <w:t>18.4</w:t>
            </w:r>
            <w:r>
              <w:rPr>
                <w:sz w:val="20"/>
                <w:szCs w:val="20"/>
                <w:lang w:val="en-GB"/>
              </w:rPr>
              <w:t>m (</w:t>
            </w:r>
            <w:r w:rsidR="00EE649E">
              <w:rPr>
                <w:sz w:val="20"/>
                <w:szCs w:val="20"/>
                <w:lang w:val="en-GB"/>
              </w:rPr>
              <w:t>47</w:t>
            </w:r>
            <w:r>
              <w:rPr>
                <w:sz w:val="20"/>
                <w:szCs w:val="20"/>
                <w:lang w:val="en-GB"/>
              </w:rPr>
              <w:t>%)</w:t>
            </w:r>
          </w:p>
          <w:p w14:paraId="5BDEC038" w14:textId="51E8D7A8" w:rsidR="00860C66" w:rsidRPr="00B56D94" w:rsidRDefault="00473341" w:rsidP="00860C66">
            <w:pPr>
              <w:rPr>
                <w:sz w:val="20"/>
                <w:szCs w:val="20"/>
                <w:lang w:val="en-GB"/>
              </w:rPr>
            </w:pPr>
            <w:r>
              <w:rPr>
                <w:sz w:val="20"/>
                <w:szCs w:val="20"/>
                <w:lang w:val="en-GB"/>
              </w:rPr>
              <w:t>d) 0.</w:t>
            </w:r>
            <w:r w:rsidR="00B40BA5">
              <w:rPr>
                <w:sz w:val="20"/>
                <w:szCs w:val="20"/>
                <w:lang w:val="en-GB"/>
              </w:rPr>
              <w:t>54</w:t>
            </w:r>
            <w:r>
              <w:rPr>
                <w:sz w:val="20"/>
                <w:szCs w:val="20"/>
                <w:lang w:val="en-GB"/>
              </w:rPr>
              <w:t>m (4</w:t>
            </w:r>
            <w:r w:rsidR="00EE649E">
              <w:rPr>
                <w:sz w:val="20"/>
                <w:szCs w:val="20"/>
                <w:lang w:val="en-GB"/>
              </w:rPr>
              <w:t>7</w:t>
            </w:r>
            <w:r>
              <w:rPr>
                <w:sz w:val="20"/>
                <w:szCs w:val="20"/>
                <w:lang w:val="en-GB"/>
              </w:rPr>
              <w:t>%)</w:t>
            </w:r>
          </w:p>
        </w:tc>
        <w:tc>
          <w:tcPr>
            <w:tcW w:w="1325" w:type="dxa"/>
          </w:tcPr>
          <w:p w14:paraId="3E9121A8" w14:textId="1D783A4F" w:rsidR="00EE649E" w:rsidRDefault="00EE649E" w:rsidP="00EE649E">
            <w:pPr>
              <w:rPr>
                <w:sz w:val="20"/>
                <w:szCs w:val="20"/>
                <w:lang w:val="en-GB"/>
              </w:rPr>
            </w:pPr>
            <w:r w:rsidRPr="00196E6C">
              <w:rPr>
                <w:sz w:val="20"/>
                <w:szCs w:val="20"/>
                <w:lang w:val="en-GB"/>
              </w:rPr>
              <w:t xml:space="preserve">a) </w:t>
            </w:r>
            <w:r w:rsidR="00B40BA5">
              <w:rPr>
                <w:sz w:val="20"/>
                <w:szCs w:val="20"/>
                <w:lang w:val="en-GB"/>
              </w:rPr>
              <w:t>5.6</w:t>
            </w:r>
            <w:r>
              <w:rPr>
                <w:sz w:val="20"/>
                <w:szCs w:val="20"/>
                <w:lang w:val="en-GB"/>
              </w:rPr>
              <w:t xml:space="preserve">m </w:t>
            </w:r>
            <w:r w:rsidRPr="00196E6C">
              <w:rPr>
                <w:sz w:val="20"/>
                <w:szCs w:val="20"/>
                <w:lang w:val="en-GB"/>
              </w:rPr>
              <w:t>(</w:t>
            </w:r>
            <w:r w:rsidR="00BD3C8E">
              <w:rPr>
                <w:sz w:val="20"/>
                <w:szCs w:val="20"/>
                <w:lang w:val="en-GB"/>
              </w:rPr>
              <w:t>50</w:t>
            </w:r>
            <w:r w:rsidRPr="00196E6C">
              <w:rPr>
                <w:sz w:val="20"/>
                <w:szCs w:val="20"/>
                <w:lang w:val="en-GB"/>
              </w:rPr>
              <w:t>%)</w:t>
            </w:r>
          </w:p>
          <w:p w14:paraId="60C50E0F" w14:textId="10729F15" w:rsidR="00EE649E" w:rsidRDefault="00EE649E" w:rsidP="00EE649E">
            <w:pPr>
              <w:rPr>
                <w:sz w:val="20"/>
                <w:szCs w:val="20"/>
                <w:lang w:val="en-GB"/>
              </w:rPr>
            </w:pPr>
            <w:r>
              <w:rPr>
                <w:sz w:val="20"/>
                <w:szCs w:val="20"/>
                <w:lang w:val="en-GB"/>
              </w:rPr>
              <w:t xml:space="preserve">b) </w:t>
            </w:r>
            <w:r w:rsidR="00B40BA5">
              <w:rPr>
                <w:sz w:val="20"/>
                <w:szCs w:val="20"/>
                <w:lang w:val="en-GB"/>
              </w:rPr>
              <w:t>2.9</w:t>
            </w:r>
            <w:r>
              <w:rPr>
                <w:sz w:val="20"/>
                <w:szCs w:val="20"/>
                <w:lang w:val="en-GB"/>
              </w:rPr>
              <w:t>m (50%)</w:t>
            </w:r>
          </w:p>
          <w:p w14:paraId="02B94219" w14:textId="0D9CF569" w:rsidR="00EE649E" w:rsidRDefault="00EE649E" w:rsidP="00EE649E">
            <w:pPr>
              <w:rPr>
                <w:sz w:val="20"/>
                <w:szCs w:val="20"/>
                <w:lang w:val="en-GB"/>
              </w:rPr>
            </w:pPr>
            <w:r>
              <w:rPr>
                <w:sz w:val="20"/>
                <w:szCs w:val="20"/>
                <w:lang w:val="en-GB"/>
              </w:rPr>
              <w:t xml:space="preserve">c) </w:t>
            </w:r>
            <w:r w:rsidR="00B40BA5">
              <w:rPr>
                <w:sz w:val="20"/>
                <w:szCs w:val="20"/>
                <w:lang w:val="en-GB"/>
              </w:rPr>
              <w:t>18.5</w:t>
            </w:r>
            <w:r>
              <w:rPr>
                <w:sz w:val="20"/>
                <w:szCs w:val="20"/>
                <w:lang w:val="en-GB"/>
              </w:rPr>
              <w:t>m (</w:t>
            </w:r>
            <w:r w:rsidR="00BD3C8E">
              <w:rPr>
                <w:sz w:val="20"/>
                <w:szCs w:val="20"/>
                <w:lang w:val="en-GB"/>
              </w:rPr>
              <w:t>50</w:t>
            </w:r>
            <w:r>
              <w:rPr>
                <w:sz w:val="20"/>
                <w:szCs w:val="20"/>
                <w:lang w:val="en-GB"/>
              </w:rPr>
              <w:t>%)</w:t>
            </w:r>
          </w:p>
          <w:p w14:paraId="6F2E1C89" w14:textId="3AD8EBEB" w:rsidR="00860C66" w:rsidRPr="00B56D94" w:rsidRDefault="00EE649E" w:rsidP="00860C66">
            <w:pPr>
              <w:rPr>
                <w:sz w:val="20"/>
                <w:szCs w:val="20"/>
                <w:lang w:val="en-GB"/>
              </w:rPr>
            </w:pPr>
            <w:r>
              <w:rPr>
                <w:sz w:val="20"/>
                <w:szCs w:val="20"/>
                <w:lang w:val="en-GB"/>
              </w:rPr>
              <w:t>d) 0.</w:t>
            </w:r>
            <w:r w:rsidR="00B40BA5">
              <w:rPr>
                <w:sz w:val="20"/>
                <w:szCs w:val="20"/>
                <w:lang w:val="en-GB"/>
              </w:rPr>
              <w:t>55</w:t>
            </w:r>
            <w:r>
              <w:rPr>
                <w:sz w:val="20"/>
                <w:szCs w:val="20"/>
                <w:lang w:val="en-GB"/>
              </w:rPr>
              <w:t>m (</w:t>
            </w:r>
            <w:r w:rsidR="00BD3C8E">
              <w:rPr>
                <w:sz w:val="20"/>
                <w:szCs w:val="20"/>
                <w:lang w:val="en-GB"/>
              </w:rPr>
              <w:t>50</w:t>
            </w:r>
            <w:r>
              <w:rPr>
                <w:sz w:val="20"/>
                <w:szCs w:val="20"/>
                <w:lang w:val="en-GB"/>
              </w:rPr>
              <w:t>%)</w:t>
            </w:r>
          </w:p>
        </w:tc>
      </w:tr>
      <w:tr w:rsidR="00860C66" w:rsidRPr="0083254F" w14:paraId="5813EAF2" w14:textId="77777777" w:rsidTr="00BD3C8E">
        <w:tc>
          <w:tcPr>
            <w:tcW w:w="815" w:type="dxa"/>
            <w:vMerge/>
          </w:tcPr>
          <w:p w14:paraId="2952F454" w14:textId="77777777" w:rsidR="00860C66" w:rsidRPr="0083254F" w:rsidRDefault="00860C66" w:rsidP="00860C66">
            <w:pPr>
              <w:rPr>
                <w:lang w:val="en-GB"/>
              </w:rPr>
            </w:pPr>
          </w:p>
        </w:tc>
        <w:tc>
          <w:tcPr>
            <w:tcW w:w="12135" w:type="dxa"/>
            <w:gridSpan w:val="6"/>
            <w:shd w:val="clear" w:color="auto" w:fill="D0CECE" w:themeFill="background2" w:themeFillShade="E6"/>
          </w:tcPr>
          <w:p w14:paraId="6E73FDA6" w14:textId="77777777" w:rsidR="00860C66" w:rsidRPr="00C10384" w:rsidRDefault="00860C66" w:rsidP="00860C66">
            <w:pPr>
              <w:rPr>
                <w:lang w:val="en-GB"/>
              </w:rPr>
            </w:pPr>
            <w:r w:rsidRPr="00C10384">
              <w:rPr>
                <w:b/>
                <w:lang w:val="en-GB"/>
              </w:rPr>
              <w:t xml:space="preserve">Corresponding SDG target: </w:t>
            </w:r>
            <w:r w:rsidR="00403D44" w:rsidRPr="00C10384">
              <w:rPr>
                <w:b/>
                <w:u w:val="single"/>
                <w:lang w:val="en-GB"/>
              </w:rPr>
              <w:t>1.4</w:t>
            </w:r>
            <w:r w:rsidR="00403D44" w:rsidRPr="00C10384">
              <w:rPr>
                <w:b/>
                <w:lang w:val="en-GB"/>
              </w:rPr>
              <w:t xml:space="preserve">, </w:t>
            </w:r>
            <w:r w:rsidR="00403D44" w:rsidRPr="00C10384">
              <w:rPr>
                <w:b/>
                <w:u w:val="single"/>
                <w:lang w:val="en-GB"/>
              </w:rPr>
              <w:t>5.a</w:t>
            </w:r>
            <w:r w:rsidR="00403D44" w:rsidRPr="00C10384">
              <w:rPr>
                <w:lang w:val="en-GB"/>
              </w:rPr>
              <w:t>, and</w:t>
            </w:r>
            <w:r w:rsidR="00403D44" w:rsidRPr="00C10384">
              <w:rPr>
                <w:b/>
                <w:lang w:val="en-GB"/>
              </w:rPr>
              <w:t xml:space="preserve"> </w:t>
            </w:r>
            <w:r w:rsidR="00403D44" w:rsidRPr="00C10384">
              <w:rPr>
                <w:b/>
                <w:u w:val="single"/>
                <w:lang w:val="en-GB"/>
              </w:rPr>
              <w:t>8.10</w:t>
            </w:r>
          </w:p>
          <w:p w14:paraId="72D6BFEA" w14:textId="77777777" w:rsidR="00860C66" w:rsidRPr="00C10384" w:rsidRDefault="00860C66" w:rsidP="00860C66">
            <w:pPr>
              <w:rPr>
                <w:lang w:val="en-GB"/>
              </w:rPr>
            </w:pPr>
            <w:r w:rsidRPr="00C10384">
              <w:rPr>
                <w:b/>
                <w:lang w:val="en-GB"/>
              </w:rPr>
              <w:t>Related UNCDF IRRM 2014-2017 indicator:</w:t>
            </w:r>
            <w:r w:rsidRPr="00C10384">
              <w:rPr>
                <w:lang w:val="en-GB"/>
              </w:rPr>
              <w:t xml:space="preserve"> Amended Outcome indicator 1.a. </w:t>
            </w:r>
          </w:p>
          <w:p w14:paraId="338D6287" w14:textId="77777777" w:rsidR="00860C66" w:rsidRPr="00C10384" w:rsidRDefault="00860C66" w:rsidP="00860C66">
            <w:pPr>
              <w:rPr>
                <w:lang w:val="en-GB"/>
              </w:rPr>
            </w:pPr>
            <w:r w:rsidRPr="00C10384">
              <w:rPr>
                <w:b/>
                <w:lang w:val="en-GB"/>
              </w:rPr>
              <w:t xml:space="preserve">Data source: </w:t>
            </w:r>
            <w:r w:rsidRPr="00C10384">
              <w:rPr>
                <w:lang w:val="en-GB"/>
              </w:rPr>
              <w:t>FSPs survey; MIX Markets database, GSMA database, Project reports</w:t>
            </w:r>
          </w:p>
          <w:p w14:paraId="5209ABE2" w14:textId="20BC64E3" w:rsidR="00860C66" w:rsidRPr="00C10384" w:rsidRDefault="00860C66" w:rsidP="00860C66">
            <w:pPr>
              <w:rPr>
                <w:lang w:val="en-GB"/>
              </w:rPr>
            </w:pPr>
            <w:r w:rsidRPr="00C10384">
              <w:rPr>
                <w:b/>
                <w:lang w:val="en-GB"/>
              </w:rPr>
              <w:t xml:space="preserve">Approach to the indicator: </w:t>
            </w:r>
            <w:r w:rsidRPr="00C10384">
              <w:rPr>
                <w:lang w:val="en-GB"/>
              </w:rPr>
              <w:t>Products will be disaggregated by savings, loans, insurance, payment me</w:t>
            </w:r>
            <w:r w:rsidR="00F52CBF" w:rsidRPr="00C10384">
              <w:rPr>
                <w:lang w:val="en-GB"/>
              </w:rPr>
              <w:t>thods</w:t>
            </w:r>
            <w:r w:rsidR="00A84EF4" w:rsidRPr="00C10384">
              <w:rPr>
                <w:lang w:val="en-GB"/>
              </w:rPr>
              <w:t xml:space="preserve"> and other services, if </w:t>
            </w:r>
            <w:r w:rsidR="00B40BA5" w:rsidRPr="00C10384">
              <w:rPr>
                <w:lang w:val="en-GB"/>
              </w:rPr>
              <w:t>necessary</w:t>
            </w:r>
            <w:r w:rsidR="00F52CBF" w:rsidRPr="00C10384">
              <w:rPr>
                <w:lang w:val="en-GB"/>
              </w:rPr>
              <w:t xml:space="preserve">. </w:t>
            </w:r>
            <w:r w:rsidR="00A27CD2" w:rsidRPr="00C10384">
              <w:rPr>
                <w:lang w:val="en-GB"/>
              </w:rPr>
              <w:t>T</w:t>
            </w:r>
            <w:r w:rsidR="00F52CBF" w:rsidRPr="00C10384">
              <w:rPr>
                <w:lang w:val="en-GB"/>
              </w:rPr>
              <w:t xml:space="preserve">here could be overlap in active clients for services. Hence, the number will only be provided in disaggregated form by products and should not be added to represent a total. </w:t>
            </w:r>
          </w:p>
        </w:tc>
      </w:tr>
      <w:tr w:rsidR="00BD3C8E" w:rsidRPr="0083254F" w14:paraId="5215DBDE" w14:textId="77777777" w:rsidTr="00B56D94">
        <w:tc>
          <w:tcPr>
            <w:tcW w:w="815" w:type="dxa"/>
            <w:vMerge w:val="restart"/>
          </w:tcPr>
          <w:p w14:paraId="0F292AB2" w14:textId="77777777" w:rsidR="00BD3C8E" w:rsidRPr="0083254F" w:rsidRDefault="00BD3C8E" w:rsidP="00BD3C8E">
            <w:pPr>
              <w:rPr>
                <w:lang w:val="en-GB"/>
              </w:rPr>
            </w:pPr>
            <w:r>
              <w:rPr>
                <w:lang w:val="en-GB"/>
              </w:rPr>
              <w:lastRenderedPageBreak/>
              <w:t>1.3</w:t>
            </w:r>
          </w:p>
        </w:tc>
        <w:tc>
          <w:tcPr>
            <w:tcW w:w="4235" w:type="dxa"/>
          </w:tcPr>
          <w:p w14:paraId="3957ADE7" w14:textId="3D28621F" w:rsidR="00BD3C8E" w:rsidRPr="0083254F" w:rsidRDefault="00BD3C8E" w:rsidP="00BD3C8E">
            <w:pPr>
              <w:rPr>
                <w:lang w:val="en-GB"/>
              </w:rPr>
            </w:pPr>
            <w:r>
              <w:rPr>
                <w:lang w:val="en-GB"/>
              </w:rPr>
              <w:t>C</w:t>
            </w:r>
            <w:r w:rsidRPr="0083254F">
              <w:rPr>
                <w:lang w:val="en-GB"/>
              </w:rPr>
              <w:t>lients served by financial products developed with UNCDF support, disaggregated by sex</w:t>
            </w:r>
            <w:r>
              <w:rPr>
                <w:lang w:val="en-GB"/>
              </w:rPr>
              <w:t xml:space="preserve"> </w:t>
            </w:r>
          </w:p>
        </w:tc>
        <w:tc>
          <w:tcPr>
            <w:tcW w:w="2530" w:type="dxa"/>
          </w:tcPr>
          <w:p w14:paraId="3FB379C2" w14:textId="76E1002C" w:rsidR="00BD3C8E" w:rsidRPr="00C10384" w:rsidRDefault="00BD3C8E" w:rsidP="00BD3C8E">
            <w:pPr>
              <w:rPr>
                <w:sz w:val="20"/>
                <w:szCs w:val="20"/>
                <w:lang w:val="en-GB"/>
              </w:rPr>
            </w:pPr>
            <w:r w:rsidRPr="00C10384">
              <w:rPr>
                <w:sz w:val="20"/>
                <w:szCs w:val="20"/>
                <w:lang w:val="en-GB"/>
              </w:rPr>
              <w:t xml:space="preserve">a) savings: </w:t>
            </w:r>
            <w:r w:rsidR="00B40BA5" w:rsidRPr="00C10384">
              <w:rPr>
                <w:sz w:val="20"/>
                <w:szCs w:val="20"/>
                <w:lang w:val="en-GB"/>
              </w:rPr>
              <w:t>0.96m</w:t>
            </w:r>
            <w:r w:rsidRPr="00C10384">
              <w:rPr>
                <w:sz w:val="20"/>
                <w:szCs w:val="20"/>
                <w:lang w:val="en-GB"/>
              </w:rPr>
              <w:t xml:space="preserve"> (67%)</w:t>
            </w:r>
            <w:r w:rsidR="009B2F24" w:rsidRPr="00C10384">
              <w:rPr>
                <w:rStyle w:val="FootnoteReference"/>
                <w:color w:val="auto"/>
                <w:szCs w:val="20"/>
                <w:lang w:val="en-GB"/>
              </w:rPr>
              <w:footnoteReference w:id="5"/>
            </w:r>
          </w:p>
          <w:p w14:paraId="6352DE04" w14:textId="5D6D5FA7" w:rsidR="00BD3C8E" w:rsidRPr="00C10384" w:rsidRDefault="00BD3C8E" w:rsidP="00BD3C8E">
            <w:pPr>
              <w:rPr>
                <w:sz w:val="20"/>
                <w:szCs w:val="20"/>
                <w:lang w:val="en-GB"/>
              </w:rPr>
            </w:pPr>
            <w:r w:rsidRPr="00C10384">
              <w:rPr>
                <w:sz w:val="20"/>
                <w:szCs w:val="20"/>
                <w:lang w:val="en-GB"/>
              </w:rPr>
              <w:t xml:space="preserve">b) loans: </w:t>
            </w:r>
            <w:r w:rsidR="00B40BA5" w:rsidRPr="00C10384">
              <w:rPr>
                <w:sz w:val="20"/>
                <w:szCs w:val="20"/>
                <w:lang w:val="en-GB"/>
              </w:rPr>
              <w:t>0.85m</w:t>
            </w:r>
            <w:r w:rsidRPr="00C10384">
              <w:rPr>
                <w:sz w:val="20"/>
                <w:szCs w:val="20"/>
                <w:lang w:val="en-GB"/>
              </w:rPr>
              <w:t xml:space="preserve"> (56%)</w:t>
            </w:r>
          </w:p>
          <w:p w14:paraId="7D1C37C9" w14:textId="2D13FC84" w:rsidR="00BD3C8E" w:rsidRPr="00C10384" w:rsidRDefault="00BD3C8E" w:rsidP="00BD3C8E">
            <w:pPr>
              <w:rPr>
                <w:sz w:val="20"/>
                <w:szCs w:val="20"/>
                <w:lang w:val="en-GB"/>
              </w:rPr>
            </w:pPr>
            <w:r w:rsidRPr="00C10384">
              <w:rPr>
                <w:sz w:val="20"/>
                <w:szCs w:val="20"/>
                <w:lang w:val="en-GB"/>
              </w:rPr>
              <w:t xml:space="preserve">c) payment:  </w:t>
            </w:r>
            <w:r w:rsidR="00B40BA5" w:rsidRPr="00C10384">
              <w:rPr>
                <w:sz w:val="20"/>
                <w:szCs w:val="20"/>
                <w:lang w:val="en-GB"/>
              </w:rPr>
              <w:t>1m</w:t>
            </w:r>
            <w:r w:rsidRPr="00C10384">
              <w:rPr>
                <w:sz w:val="20"/>
                <w:szCs w:val="20"/>
                <w:lang w:val="en-GB"/>
              </w:rPr>
              <w:t xml:space="preserve"> (46%)</w:t>
            </w:r>
          </w:p>
          <w:p w14:paraId="5C625FF9" w14:textId="4C9F889D" w:rsidR="00BD3C8E" w:rsidRPr="00C10384" w:rsidRDefault="00BD3C8E" w:rsidP="00BD3C8E">
            <w:pPr>
              <w:rPr>
                <w:lang w:val="en-GB"/>
              </w:rPr>
            </w:pPr>
            <w:r w:rsidRPr="00C10384">
              <w:rPr>
                <w:sz w:val="20"/>
                <w:szCs w:val="20"/>
                <w:lang w:val="en-GB"/>
              </w:rPr>
              <w:t>d) insurance</w:t>
            </w:r>
            <w:r w:rsidR="00B40BA5" w:rsidRPr="00C10384">
              <w:rPr>
                <w:sz w:val="20"/>
                <w:szCs w:val="20"/>
                <w:lang w:val="en-GB"/>
              </w:rPr>
              <w:t xml:space="preserve">: 0.26m </w:t>
            </w:r>
            <w:r w:rsidRPr="00C10384">
              <w:rPr>
                <w:sz w:val="20"/>
                <w:szCs w:val="20"/>
                <w:lang w:val="en-GB"/>
              </w:rPr>
              <w:t>(35%)</w:t>
            </w:r>
          </w:p>
        </w:tc>
        <w:tc>
          <w:tcPr>
            <w:tcW w:w="1395" w:type="dxa"/>
          </w:tcPr>
          <w:p w14:paraId="2CCD2290" w14:textId="5C7FCC49" w:rsidR="00BD3C8E" w:rsidRPr="00C10384" w:rsidRDefault="00BD3C8E" w:rsidP="00BD3C8E">
            <w:pPr>
              <w:rPr>
                <w:sz w:val="20"/>
                <w:szCs w:val="20"/>
                <w:lang w:val="en-GB"/>
              </w:rPr>
            </w:pPr>
            <w:r w:rsidRPr="00C10384">
              <w:rPr>
                <w:sz w:val="20"/>
                <w:szCs w:val="20"/>
                <w:lang w:val="en-GB"/>
              </w:rPr>
              <w:t xml:space="preserve">a) </w:t>
            </w:r>
            <w:r w:rsidR="00B40BA5" w:rsidRPr="00C10384">
              <w:rPr>
                <w:sz w:val="20"/>
                <w:szCs w:val="20"/>
                <w:lang w:val="en-GB"/>
              </w:rPr>
              <w:t>1.1</w:t>
            </w:r>
            <w:r w:rsidRPr="00C10384">
              <w:rPr>
                <w:sz w:val="20"/>
                <w:szCs w:val="20"/>
                <w:lang w:val="en-GB"/>
              </w:rPr>
              <w:t>m (50%)</w:t>
            </w:r>
          </w:p>
          <w:p w14:paraId="54B3C6CD" w14:textId="5DD6C325" w:rsidR="00BD3C8E" w:rsidRPr="00C10384" w:rsidRDefault="00BD3C8E" w:rsidP="00BD3C8E">
            <w:pPr>
              <w:rPr>
                <w:sz w:val="20"/>
                <w:szCs w:val="20"/>
                <w:lang w:val="en-GB"/>
              </w:rPr>
            </w:pPr>
            <w:r w:rsidRPr="00C10384">
              <w:rPr>
                <w:sz w:val="20"/>
                <w:szCs w:val="20"/>
                <w:lang w:val="en-GB"/>
              </w:rPr>
              <w:t xml:space="preserve">b) </w:t>
            </w:r>
            <w:r w:rsidR="00B40BA5" w:rsidRPr="00C10384">
              <w:rPr>
                <w:sz w:val="20"/>
                <w:szCs w:val="20"/>
                <w:lang w:val="en-GB"/>
              </w:rPr>
              <w:t>0.9</w:t>
            </w:r>
            <w:r w:rsidRPr="00C10384">
              <w:rPr>
                <w:sz w:val="20"/>
                <w:szCs w:val="20"/>
                <w:lang w:val="en-GB"/>
              </w:rPr>
              <w:t>m (50%)</w:t>
            </w:r>
          </w:p>
          <w:p w14:paraId="0FDE942C" w14:textId="61EE9B91" w:rsidR="00BD3C8E" w:rsidRPr="00C10384" w:rsidRDefault="00BD3C8E" w:rsidP="00BD3C8E">
            <w:pPr>
              <w:rPr>
                <w:sz w:val="20"/>
                <w:szCs w:val="20"/>
                <w:lang w:val="en-GB"/>
              </w:rPr>
            </w:pPr>
            <w:r w:rsidRPr="00C10384">
              <w:rPr>
                <w:sz w:val="20"/>
                <w:szCs w:val="20"/>
                <w:lang w:val="en-GB"/>
              </w:rPr>
              <w:t>c) 1.</w:t>
            </w:r>
            <w:r w:rsidR="00B40BA5" w:rsidRPr="00C10384">
              <w:rPr>
                <w:sz w:val="20"/>
                <w:szCs w:val="20"/>
                <w:lang w:val="en-GB"/>
              </w:rPr>
              <w:t>3</w:t>
            </w:r>
            <w:r w:rsidRPr="00C10384">
              <w:rPr>
                <w:sz w:val="20"/>
                <w:szCs w:val="20"/>
                <w:lang w:val="en-GB"/>
              </w:rPr>
              <w:t>m (47%)</w:t>
            </w:r>
          </w:p>
          <w:p w14:paraId="7A45FEC2" w14:textId="468B6855" w:rsidR="00BD3C8E" w:rsidRPr="00C10384" w:rsidRDefault="00BD3C8E" w:rsidP="00BD3C8E">
            <w:pPr>
              <w:rPr>
                <w:lang w:val="en-GB"/>
              </w:rPr>
            </w:pPr>
            <w:r w:rsidRPr="00C10384">
              <w:rPr>
                <w:sz w:val="20"/>
                <w:szCs w:val="20"/>
                <w:lang w:val="en-GB"/>
              </w:rPr>
              <w:t xml:space="preserve">d) </w:t>
            </w:r>
            <w:r w:rsidR="00B40BA5" w:rsidRPr="00C10384">
              <w:rPr>
                <w:sz w:val="20"/>
                <w:szCs w:val="20"/>
                <w:lang w:val="en-GB"/>
              </w:rPr>
              <w:t xml:space="preserve">0.35m </w:t>
            </w:r>
            <w:r w:rsidRPr="00C10384">
              <w:rPr>
                <w:sz w:val="20"/>
                <w:szCs w:val="20"/>
                <w:lang w:val="en-GB"/>
              </w:rPr>
              <w:t>(41%)</w:t>
            </w:r>
          </w:p>
        </w:tc>
        <w:tc>
          <w:tcPr>
            <w:tcW w:w="1325" w:type="dxa"/>
          </w:tcPr>
          <w:p w14:paraId="291A30CC" w14:textId="24AD3877" w:rsidR="00BD3C8E" w:rsidRDefault="00BD3C8E" w:rsidP="00BD3C8E">
            <w:pPr>
              <w:rPr>
                <w:sz w:val="20"/>
                <w:szCs w:val="20"/>
                <w:lang w:val="en-GB"/>
              </w:rPr>
            </w:pPr>
            <w:r w:rsidRPr="00196E6C">
              <w:rPr>
                <w:sz w:val="20"/>
                <w:szCs w:val="20"/>
                <w:lang w:val="en-GB"/>
              </w:rPr>
              <w:t xml:space="preserve">a) </w:t>
            </w:r>
            <w:r w:rsidR="00B40BA5">
              <w:rPr>
                <w:sz w:val="20"/>
                <w:szCs w:val="20"/>
                <w:lang w:val="en-GB"/>
              </w:rPr>
              <w:t>1.3</w:t>
            </w:r>
            <w:r>
              <w:rPr>
                <w:sz w:val="20"/>
                <w:szCs w:val="20"/>
                <w:lang w:val="en-GB"/>
              </w:rPr>
              <w:t xml:space="preserve">m </w:t>
            </w:r>
            <w:r w:rsidRPr="00196E6C">
              <w:rPr>
                <w:sz w:val="20"/>
                <w:szCs w:val="20"/>
                <w:lang w:val="en-GB"/>
              </w:rPr>
              <w:t>(</w:t>
            </w:r>
            <w:r>
              <w:rPr>
                <w:sz w:val="20"/>
                <w:szCs w:val="20"/>
                <w:lang w:val="en-GB"/>
              </w:rPr>
              <w:t>50</w:t>
            </w:r>
            <w:r w:rsidRPr="00196E6C">
              <w:rPr>
                <w:sz w:val="20"/>
                <w:szCs w:val="20"/>
                <w:lang w:val="en-GB"/>
              </w:rPr>
              <w:t>%)</w:t>
            </w:r>
          </w:p>
          <w:p w14:paraId="6CCED846" w14:textId="02328F4D" w:rsidR="00BD3C8E" w:rsidRDefault="00BD3C8E" w:rsidP="00BD3C8E">
            <w:pPr>
              <w:rPr>
                <w:sz w:val="20"/>
                <w:szCs w:val="20"/>
                <w:lang w:val="en-GB"/>
              </w:rPr>
            </w:pPr>
            <w:r>
              <w:rPr>
                <w:sz w:val="20"/>
                <w:szCs w:val="20"/>
                <w:lang w:val="en-GB"/>
              </w:rPr>
              <w:t xml:space="preserve">b) </w:t>
            </w:r>
            <w:r w:rsidR="00B40BA5">
              <w:rPr>
                <w:sz w:val="20"/>
                <w:szCs w:val="20"/>
                <w:lang w:val="en-GB"/>
              </w:rPr>
              <w:t>0.95</w:t>
            </w:r>
            <w:r>
              <w:rPr>
                <w:sz w:val="20"/>
                <w:szCs w:val="20"/>
                <w:lang w:val="en-GB"/>
              </w:rPr>
              <w:t>m (50%)</w:t>
            </w:r>
          </w:p>
          <w:p w14:paraId="564BF149" w14:textId="303E8794" w:rsidR="00BD3C8E" w:rsidRDefault="00BD3C8E" w:rsidP="00BD3C8E">
            <w:pPr>
              <w:rPr>
                <w:sz w:val="20"/>
                <w:szCs w:val="20"/>
                <w:lang w:val="en-GB"/>
              </w:rPr>
            </w:pPr>
            <w:r>
              <w:rPr>
                <w:sz w:val="20"/>
                <w:szCs w:val="20"/>
                <w:lang w:val="en-GB"/>
              </w:rPr>
              <w:t xml:space="preserve">c) </w:t>
            </w:r>
            <w:r w:rsidR="009B2F24">
              <w:rPr>
                <w:sz w:val="20"/>
                <w:szCs w:val="20"/>
                <w:lang w:val="en-GB"/>
              </w:rPr>
              <w:t>1.7</w:t>
            </w:r>
            <w:r>
              <w:rPr>
                <w:sz w:val="20"/>
                <w:szCs w:val="20"/>
                <w:lang w:val="en-GB"/>
              </w:rPr>
              <w:t>m (48%)</w:t>
            </w:r>
          </w:p>
          <w:p w14:paraId="6825967D" w14:textId="256ABC3C" w:rsidR="00BD3C8E" w:rsidRPr="0083254F" w:rsidRDefault="00BD3C8E" w:rsidP="00BD3C8E">
            <w:pPr>
              <w:rPr>
                <w:lang w:val="en-GB"/>
              </w:rPr>
            </w:pPr>
            <w:r>
              <w:rPr>
                <w:sz w:val="20"/>
                <w:szCs w:val="20"/>
                <w:lang w:val="en-GB"/>
              </w:rPr>
              <w:t xml:space="preserve">d) </w:t>
            </w:r>
            <w:r w:rsidR="00B40BA5">
              <w:rPr>
                <w:sz w:val="20"/>
                <w:szCs w:val="20"/>
                <w:lang w:val="en-GB"/>
              </w:rPr>
              <w:t xml:space="preserve">0.44m </w:t>
            </w:r>
            <w:r>
              <w:rPr>
                <w:sz w:val="20"/>
                <w:szCs w:val="20"/>
                <w:lang w:val="en-GB"/>
              </w:rPr>
              <w:t>(44%)</w:t>
            </w:r>
          </w:p>
        </w:tc>
        <w:tc>
          <w:tcPr>
            <w:tcW w:w="1325" w:type="dxa"/>
          </w:tcPr>
          <w:p w14:paraId="5C478AC1" w14:textId="4DECB83C" w:rsidR="00BD3C8E" w:rsidRDefault="00BD3C8E" w:rsidP="00BD3C8E">
            <w:pPr>
              <w:rPr>
                <w:sz w:val="20"/>
                <w:szCs w:val="20"/>
                <w:lang w:val="en-GB"/>
              </w:rPr>
            </w:pPr>
            <w:r w:rsidRPr="00196E6C">
              <w:rPr>
                <w:sz w:val="20"/>
                <w:szCs w:val="20"/>
                <w:lang w:val="en-GB"/>
              </w:rPr>
              <w:t xml:space="preserve">a) </w:t>
            </w:r>
            <w:r w:rsidR="00B40BA5">
              <w:rPr>
                <w:sz w:val="20"/>
                <w:szCs w:val="20"/>
                <w:lang w:val="en-GB"/>
              </w:rPr>
              <w:t>1.45</w:t>
            </w:r>
            <w:r>
              <w:rPr>
                <w:sz w:val="20"/>
                <w:szCs w:val="20"/>
                <w:lang w:val="en-GB"/>
              </w:rPr>
              <w:t xml:space="preserve">m </w:t>
            </w:r>
            <w:r w:rsidRPr="00196E6C">
              <w:rPr>
                <w:sz w:val="20"/>
                <w:szCs w:val="20"/>
                <w:lang w:val="en-GB"/>
              </w:rPr>
              <w:t>(</w:t>
            </w:r>
            <w:r>
              <w:rPr>
                <w:sz w:val="20"/>
                <w:szCs w:val="20"/>
                <w:lang w:val="en-GB"/>
              </w:rPr>
              <w:t>50</w:t>
            </w:r>
            <w:r w:rsidRPr="00196E6C">
              <w:rPr>
                <w:sz w:val="20"/>
                <w:szCs w:val="20"/>
                <w:lang w:val="en-GB"/>
              </w:rPr>
              <w:t>%)</w:t>
            </w:r>
          </w:p>
          <w:p w14:paraId="3FA302C7" w14:textId="31E705B4" w:rsidR="00BD3C8E" w:rsidRDefault="00BD3C8E" w:rsidP="00BD3C8E">
            <w:pPr>
              <w:rPr>
                <w:sz w:val="20"/>
                <w:szCs w:val="20"/>
                <w:lang w:val="en-GB"/>
              </w:rPr>
            </w:pPr>
            <w:r>
              <w:rPr>
                <w:sz w:val="20"/>
                <w:szCs w:val="20"/>
                <w:lang w:val="en-GB"/>
              </w:rPr>
              <w:t>b) 1m (50%)</w:t>
            </w:r>
          </w:p>
          <w:p w14:paraId="6BAE5F03" w14:textId="1566FFF6" w:rsidR="00BD3C8E" w:rsidRDefault="00BD3C8E" w:rsidP="00BD3C8E">
            <w:pPr>
              <w:rPr>
                <w:sz w:val="20"/>
                <w:szCs w:val="20"/>
                <w:lang w:val="en-GB"/>
              </w:rPr>
            </w:pPr>
            <w:r>
              <w:rPr>
                <w:sz w:val="20"/>
                <w:szCs w:val="20"/>
                <w:lang w:val="en-GB"/>
              </w:rPr>
              <w:t xml:space="preserve">c) </w:t>
            </w:r>
            <w:r w:rsidR="009B2F24">
              <w:rPr>
                <w:sz w:val="20"/>
                <w:szCs w:val="20"/>
                <w:lang w:val="en-GB"/>
              </w:rPr>
              <w:t>1.8</w:t>
            </w:r>
            <w:r>
              <w:rPr>
                <w:sz w:val="20"/>
                <w:szCs w:val="20"/>
                <w:lang w:val="en-GB"/>
              </w:rPr>
              <w:t>m (49%)</w:t>
            </w:r>
          </w:p>
          <w:p w14:paraId="1985FB08" w14:textId="1FE8C94A" w:rsidR="00BD3C8E" w:rsidRPr="0083254F" w:rsidRDefault="00BD3C8E" w:rsidP="00BD3C8E">
            <w:pPr>
              <w:rPr>
                <w:lang w:val="en-GB"/>
              </w:rPr>
            </w:pPr>
            <w:r>
              <w:rPr>
                <w:sz w:val="20"/>
                <w:szCs w:val="20"/>
                <w:lang w:val="en-GB"/>
              </w:rPr>
              <w:t xml:space="preserve">d) </w:t>
            </w:r>
            <w:r w:rsidR="00B40BA5">
              <w:rPr>
                <w:sz w:val="20"/>
                <w:szCs w:val="20"/>
                <w:lang w:val="en-GB"/>
              </w:rPr>
              <w:t xml:space="preserve">0.54m </w:t>
            </w:r>
            <w:r>
              <w:rPr>
                <w:sz w:val="20"/>
                <w:szCs w:val="20"/>
                <w:lang w:val="en-GB"/>
              </w:rPr>
              <w:t>(47%)</w:t>
            </w:r>
          </w:p>
        </w:tc>
        <w:tc>
          <w:tcPr>
            <w:tcW w:w="1325" w:type="dxa"/>
          </w:tcPr>
          <w:p w14:paraId="5346F692" w14:textId="149B58BF" w:rsidR="00BD3C8E" w:rsidRDefault="00BD3C8E" w:rsidP="00BD3C8E">
            <w:pPr>
              <w:rPr>
                <w:sz w:val="20"/>
                <w:szCs w:val="20"/>
                <w:lang w:val="en-GB"/>
              </w:rPr>
            </w:pPr>
            <w:r w:rsidRPr="00196E6C">
              <w:rPr>
                <w:sz w:val="20"/>
                <w:szCs w:val="20"/>
                <w:lang w:val="en-GB"/>
              </w:rPr>
              <w:t xml:space="preserve">a) </w:t>
            </w:r>
            <w:r w:rsidR="00B40BA5">
              <w:rPr>
                <w:sz w:val="20"/>
                <w:szCs w:val="20"/>
                <w:lang w:val="en-GB"/>
              </w:rPr>
              <w:t>1.6</w:t>
            </w:r>
            <w:r>
              <w:rPr>
                <w:sz w:val="20"/>
                <w:szCs w:val="20"/>
                <w:lang w:val="en-GB"/>
              </w:rPr>
              <w:t xml:space="preserve">m </w:t>
            </w:r>
            <w:r w:rsidRPr="00196E6C">
              <w:rPr>
                <w:sz w:val="20"/>
                <w:szCs w:val="20"/>
                <w:lang w:val="en-GB"/>
              </w:rPr>
              <w:t>(</w:t>
            </w:r>
            <w:r>
              <w:rPr>
                <w:sz w:val="20"/>
                <w:szCs w:val="20"/>
                <w:lang w:val="en-GB"/>
              </w:rPr>
              <w:t>50</w:t>
            </w:r>
            <w:r w:rsidRPr="00196E6C">
              <w:rPr>
                <w:sz w:val="20"/>
                <w:szCs w:val="20"/>
                <w:lang w:val="en-GB"/>
              </w:rPr>
              <w:t>%)</w:t>
            </w:r>
          </w:p>
          <w:p w14:paraId="646E2A42" w14:textId="4BBA8478" w:rsidR="00BD3C8E" w:rsidRDefault="00BD3C8E" w:rsidP="00BD3C8E">
            <w:pPr>
              <w:rPr>
                <w:sz w:val="20"/>
                <w:szCs w:val="20"/>
                <w:lang w:val="en-GB"/>
              </w:rPr>
            </w:pPr>
            <w:r>
              <w:rPr>
                <w:sz w:val="20"/>
                <w:szCs w:val="20"/>
                <w:lang w:val="en-GB"/>
              </w:rPr>
              <w:t>b) 1.</w:t>
            </w:r>
            <w:r w:rsidR="00B40BA5">
              <w:rPr>
                <w:sz w:val="20"/>
                <w:szCs w:val="20"/>
                <w:lang w:val="en-GB"/>
              </w:rPr>
              <w:t>1</w:t>
            </w:r>
            <w:r>
              <w:rPr>
                <w:sz w:val="20"/>
                <w:szCs w:val="20"/>
                <w:lang w:val="en-GB"/>
              </w:rPr>
              <w:t>m (50%)</w:t>
            </w:r>
          </w:p>
          <w:p w14:paraId="71582367" w14:textId="40837076" w:rsidR="00BD3C8E" w:rsidRDefault="00BD3C8E" w:rsidP="00BD3C8E">
            <w:pPr>
              <w:rPr>
                <w:sz w:val="20"/>
                <w:szCs w:val="20"/>
                <w:lang w:val="en-GB"/>
              </w:rPr>
            </w:pPr>
            <w:r>
              <w:rPr>
                <w:sz w:val="20"/>
                <w:szCs w:val="20"/>
                <w:lang w:val="en-GB"/>
              </w:rPr>
              <w:t xml:space="preserve">c) </w:t>
            </w:r>
            <w:r w:rsidR="009B2F24">
              <w:rPr>
                <w:sz w:val="20"/>
                <w:szCs w:val="20"/>
                <w:lang w:val="en-GB"/>
              </w:rPr>
              <w:t>1.85</w:t>
            </w:r>
            <w:r>
              <w:rPr>
                <w:sz w:val="20"/>
                <w:szCs w:val="20"/>
                <w:lang w:val="en-GB"/>
              </w:rPr>
              <w:t>m (50%)</w:t>
            </w:r>
          </w:p>
          <w:p w14:paraId="391ABEC8" w14:textId="5C7B475E" w:rsidR="00BD3C8E" w:rsidRPr="0083254F" w:rsidRDefault="00BD3C8E" w:rsidP="00BD3C8E">
            <w:pPr>
              <w:rPr>
                <w:lang w:val="en-GB"/>
              </w:rPr>
            </w:pPr>
            <w:r>
              <w:rPr>
                <w:sz w:val="20"/>
                <w:szCs w:val="20"/>
                <w:lang w:val="en-GB"/>
              </w:rPr>
              <w:t xml:space="preserve">d) </w:t>
            </w:r>
            <w:r w:rsidR="00B40BA5">
              <w:rPr>
                <w:sz w:val="20"/>
                <w:szCs w:val="20"/>
                <w:lang w:val="en-GB"/>
              </w:rPr>
              <w:t xml:space="preserve">0.55m </w:t>
            </w:r>
            <w:r>
              <w:rPr>
                <w:sz w:val="20"/>
                <w:szCs w:val="20"/>
                <w:lang w:val="en-GB"/>
              </w:rPr>
              <w:t>(50%)</w:t>
            </w:r>
          </w:p>
        </w:tc>
      </w:tr>
      <w:tr w:rsidR="00BD3C8E" w:rsidRPr="0083254F" w14:paraId="407D2399" w14:textId="77777777" w:rsidTr="00BD3C8E">
        <w:tc>
          <w:tcPr>
            <w:tcW w:w="815" w:type="dxa"/>
            <w:vMerge/>
          </w:tcPr>
          <w:p w14:paraId="2BA0ABFE" w14:textId="77777777" w:rsidR="00BD3C8E" w:rsidRPr="0083254F" w:rsidRDefault="00BD3C8E" w:rsidP="00BD3C8E">
            <w:pPr>
              <w:rPr>
                <w:lang w:val="en-GB"/>
              </w:rPr>
            </w:pPr>
          </w:p>
        </w:tc>
        <w:tc>
          <w:tcPr>
            <w:tcW w:w="12135" w:type="dxa"/>
            <w:gridSpan w:val="6"/>
            <w:shd w:val="clear" w:color="auto" w:fill="D0CECE" w:themeFill="background2" w:themeFillShade="E6"/>
          </w:tcPr>
          <w:p w14:paraId="4DF2E8AB" w14:textId="77777777" w:rsidR="00BD3C8E" w:rsidRPr="0083254F" w:rsidRDefault="00BD3C8E" w:rsidP="00BD3C8E">
            <w:pPr>
              <w:rPr>
                <w:lang w:val="en-GB"/>
              </w:rPr>
            </w:pPr>
            <w:r w:rsidRPr="0083254F">
              <w:rPr>
                <w:b/>
                <w:lang w:val="en-GB"/>
              </w:rPr>
              <w:t xml:space="preserve">Corresponding SDG target: </w:t>
            </w:r>
            <w:r w:rsidRPr="0083254F">
              <w:rPr>
                <w:b/>
                <w:u w:val="single"/>
                <w:lang w:val="en-GB"/>
              </w:rPr>
              <w:t>1.4</w:t>
            </w:r>
            <w:r w:rsidRPr="0083254F">
              <w:rPr>
                <w:b/>
                <w:lang w:val="en-GB"/>
              </w:rPr>
              <w:t xml:space="preserve">, </w:t>
            </w:r>
            <w:r w:rsidRPr="0083254F">
              <w:rPr>
                <w:b/>
                <w:u w:val="single"/>
                <w:lang w:val="en-GB"/>
              </w:rPr>
              <w:t>5.a</w:t>
            </w:r>
            <w:r w:rsidRPr="0083254F">
              <w:rPr>
                <w:lang w:val="en-GB"/>
              </w:rPr>
              <w:t>, and</w:t>
            </w:r>
            <w:r w:rsidRPr="0083254F">
              <w:rPr>
                <w:b/>
                <w:lang w:val="en-GB"/>
              </w:rPr>
              <w:t xml:space="preserve"> </w:t>
            </w:r>
            <w:r w:rsidRPr="0083254F">
              <w:rPr>
                <w:b/>
                <w:u w:val="single"/>
                <w:lang w:val="en-GB"/>
              </w:rPr>
              <w:t>8.10</w:t>
            </w:r>
          </w:p>
          <w:p w14:paraId="7AD4C734" w14:textId="77777777" w:rsidR="00BD3C8E" w:rsidRPr="0083254F" w:rsidRDefault="00BD3C8E" w:rsidP="00BD3C8E">
            <w:pPr>
              <w:rPr>
                <w:lang w:val="en-GB"/>
              </w:rPr>
            </w:pPr>
            <w:r w:rsidRPr="0083254F">
              <w:rPr>
                <w:b/>
                <w:lang w:val="en-GB"/>
              </w:rPr>
              <w:t>Related UNCDF IRRM 2014-2017 indicator:</w:t>
            </w:r>
            <w:r w:rsidRPr="0083254F">
              <w:rPr>
                <w:lang w:val="en-GB"/>
              </w:rPr>
              <w:t xml:space="preserve"> Amended Outcome indicator 2.b </w:t>
            </w:r>
          </w:p>
          <w:p w14:paraId="4FEB02FC" w14:textId="77777777" w:rsidR="00BD3C8E" w:rsidRPr="0083254F" w:rsidRDefault="00BD3C8E" w:rsidP="00BD3C8E">
            <w:pPr>
              <w:rPr>
                <w:lang w:val="en-GB"/>
              </w:rPr>
            </w:pPr>
            <w:r w:rsidRPr="0083254F">
              <w:rPr>
                <w:b/>
                <w:lang w:val="en-GB"/>
              </w:rPr>
              <w:t xml:space="preserve">Data source: </w:t>
            </w:r>
            <w:r w:rsidRPr="0083254F">
              <w:rPr>
                <w:lang w:val="en-GB"/>
              </w:rPr>
              <w:t>FSPs survey; MIX Markets database, GSMA database, Project reports</w:t>
            </w:r>
          </w:p>
          <w:p w14:paraId="05DE695F" w14:textId="006DCA6D" w:rsidR="00BD3C8E" w:rsidRPr="0083254F" w:rsidRDefault="00BD3C8E" w:rsidP="00BD3C8E">
            <w:pPr>
              <w:rPr>
                <w:lang w:val="en-GB"/>
              </w:rPr>
            </w:pPr>
            <w:r w:rsidRPr="0083254F">
              <w:rPr>
                <w:b/>
                <w:lang w:val="en-GB"/>
              </w:rPr>
              <w:t>Approach to the indicator</w:t>
            </w:r>
            <w:r>
              <w:rPr>
                <w:b/>
                <w:lang w:val="en-GB"/>
              </w:rPr>
              <w:t xml:space="preserve"> (cumulative)</w:t>
            </w:r>
            <w:r w:rsidRPr="0083254F">
              <w:rPr>
                <w:b/>
                <w:lang w:val="en-GB"/>
              </w:rPr>
              <w:t xml:space="preserve">: </w:t>
            </w:r>
            <w:r w:rsidR="00A27CD2">
              <w:rPr>
                <w:lang w:val="en-GB"/>
              </w:rPr>
              <w:t>The indicator m</w:t>
            </w:r>
            <w:r w:rsidRPr="0083254F">
              <w:rPr>
                <w:lang w:val="en-GB"/>
              </w:rPr>
              <w:t>easures number of clients served by new financial product that was piloted and</w:t>
            </w:r>
            <w:r w:rsidR="00A27CD2">
              <w:rPr>
                <w:lang w:val="en-GB"/>
              </w:rPr>
              <w:t>/or</w:t>
            </w:r>
            <w:r w:rsidRPr="0083254F">
              <w:rPr>
                <w:lang w:val="en-GB"/>
              </w:rPr>
              <w:t xml:space="preserve"> scaled (indicator 1.2). </w:t>
            </w:r>
          </w:p>
        </w:tc>
      </w:tr>
      <w:tr w:rsidR="00BD3C8E" w:rsidRPr="0083254F" w14:paraId="218F61A9" w14:textId="77777777" w:rsidTr="00B56D94">
        <w:tc>
          <w:tcPr>
            <w:tcW w:w="815" w:type="dxa"/>
            <w:vMerge w:val="restart"/>
          </w:tcPr>
          <w:p w14:paraId="1BCB865E" w14:textId="77777777" w:rsidR="00BD3C8E" w:rsidRPr="0083254F" w:rsidRDefault="00BD3C8E" w:rsidP="00BD3C8E">
            <w:pPr>
              <w:rPr>
                <w:lang w:val="en-GB"/>
              </w:rPr>
            </w:pPr>
            <w:r>
              <w:rPr>
                <w:lang w:val="en-GB"/>
              </w:rPr>
              <w:t>1.4</w:t>
            </w:r>
          </w:p>
        </w:tc>
        <w:tc>
          <w:tcPr>
            <w:tcW w:w="4235" w:type="dxa"/>
          </w:tcPr>
          <w:p w14:paraId="69EE7932" w14:textId="0DF0BB89" w:rsidR="00BD3C8E" w:rsidRPr="0083254F" w:rsidRDefault="00BD3C8E" w:rsidP="00BD3C8E">
            <w:pPr>
              <w:rPr>
                <w:lang w:val="en-GB"/>
              </w:rPr>
            </w:pPr>
            <w:r>
              <w:rPr>
                <w:lang w:val="en-GB"/>
              </w:rPr>
              <w:t>I</w:t>
            </w:r>
            <w:r w:rsidRPr="0083254F">
              <w:rPr>
                <w:lang w:val="en-GB"/>
              </w:rPr>
              <w:t>mplementation rate (%) of national inclusive finance road maps, action plans and national strategies adopted by host government based on UNCDF support</w:t>
            </w:r>
          </w:p>
        </w:tc>
        <w:tc>
          <w:tcPr>
            <w:tcW w:w="2530" w:type="dxa"/>
          </w:tcPr>
          <w:p w14:paraId="7C884933" w14:textId="31D303E3" w:rsidR="00BD3C8E" w:rsidRPr="0083254F" w:rsidRDefault="00BD3C8E" w:rsidP="00BD3C8E">
            <w:pPr>
              <w:rPr>
                <w:lang w:val="en-GB"/>
              </w:rPr>
            </w:pPr>
            <w:r>
              <w:rPr>
                <w:lang w:val="en-GB"/>
              </w:rPr>
              <w:t>7</w:t>
            </w:r>
            <w:r w:rsidR="000B691A">
              <w:rPr>
                <w:lang w:val="en-GB"/>
              </w:rPr>
              <w:t>2</w:t>
            </w:r>
            <w:r>
              <w:rPr>
                <w:lang w:val="en-GB"/>
              </w:rPr>
              <w:t>%</w:t>
            </w:r>
            <w:r w:rsidR="000B691A">
              <w:rPr>
                <w:lang w:val="en-GB"/>
              </w:rPr>
              <w:t xml:space="preserve"> (2017)</w:t>
            </w:r>
          </w:p>
        </w:tc>
        <w:tc>
          <w:tcPr>
            <w:tcW w:w="1395" w:type="dxa"/>
          </w:tcPr>
          <w:p w14:paraId="5D5CC2E3" w14:textId="62AFAE16" w:rsidR="00BD3C8E" w:rsidRPr="0083254F" w:rsidRDefault="000B691A" w:rsidP="00BD3C8E">
            <w:pPr>
              <w:rPr>
                <w:lang w:val="en-GB"/>
              </w:rPr>
            </w:pPr>
            <w:r>
              <w:rPr>
                <w:lang w:val="en-GB"/>
              </w:rPr>
              <w:t>75</w:t>
            </w:r>
            <w:r w:rsidR="00BD3C8E">
              <w:rPr>
                <w:lang w:val="en-GB"/>
              </w:rPr>
              <w:t>%</w:t>
            </w:r>
          </w:p>
        </w:tc>
        <w:tc>
          <w:tcPr>
            <w:tcW w:w="1325" w:type="dxa"/>
          </w:tcPr>
          <w:p w14:paraId="79018468" w14:textId="5C286F6D" w:rsidR="00BD3C8E" w:rsidRPr="0083254F" w:rsidRDefault="000B691A" w:rsidP="00BD3C8E">
            <w:pPr>
              <w:rPr>
                <w:lang w:val="en-GB"/>
              </w:rPr>
            </w:pPr>
            <w:r>
              <w:rPr>
                <w:lang w:val="en-GB"/>
              </w:rPr>
              <w:t>81</w:t>
            </w:r>
            <w:r w:rsidR="00BD3C8E">
              <w:rPr>
                <w:lang w:val="en-GB"/>
              </w:rPr>
              <w:t>%</w:t>
            </w:r>
          </w:p>
        </w:tc>
        <w:tc>
          <w:tcPr>
            <w:tcW w:w="1325" w:type="dxa"/>
          </w:tcPr>
          <w:p w14:paraId="4F9F36FC" w14:textId="1FF8BA00" w:rsidR="00BD3C8E" w:rsidRPr="0083254F" w:rsidRDefault="00BD3C8E" w:rsidP="00BD3C8E">
            <w:pPr>
              <w:rPr>
                <w:lang w:val="en-GB"/>
              </w:rPr>
            </w:pPr>
            <w:r>
              <w:rPr>
                <w:lang w:val="en-GB"/>
              </w:rPr>
              <w:t>8</w:t>
            </w:r>
            <w:r w:rsidR="000B691A">
              <w:rPr>
                <w:lang w:val="en-GB"/>
              </w:rPr>
              <w:t>4</w:t>
            </w:r>
            <w:r>
              <w:rPr>
                <w:lang w:val="en-GB"/>
              </w:rPr>
              <w:t>%</w:t>
            </w:r>
          </w:p>
        </w:tc>
        <w:tc>
          <w:tcPr>
            <w:tcW w:w="1325" w:type="dxa"/>
          </w:tcPr>
          <w:p w14:paraId="5A69A297" w14:textId="59947C59" w:rsidR="00BD3C8E" w:rsidRPr="0083254F" w:rsidRDefault="00BD3C8E" w:rsidP="00BD3C8E">
            <w:pPr>
              <w:rPr>
                <w:lang w:val="en-GB"/>
              </w:rPr>
            </w:pPr>
            <w:r>
              <w:rPr>
                <w:lang w:val="en-GB"/>
              </w:rPr>
              <w:t>85%</w:t>
            </w:r>
          </w:p>
        </w:tc>
      </w:tr>
      <w:tr w:rsidR="00BD3C8E" w:rsidRPr="0083254F" w14:paraId="6D22C859" w14:textId="77777777" w:rsidTr="00BD3C8E">
        <w:tc>
          <w:tcPr>
            <w:tcW w:w="815" w:type="dxa"/>
            <w:vMerge/>
          </w:tcPr>
          <w:p w14:paraId="14A24BF7" w14:textId="77777777" w:rsidR="00BD3C8E" w:rsidRPr="0083254F" w:rsidRDefault="00BD3C8E" w:rsidP="00BD3C8E">
            <w:pPr>
              <w:rPr>
                <w:lang w:val="en-GB"/>
              </w:rPr>
            </w:pPr>
          </w:p>
        </w:tc>
        <w:tc>
          <w:tcPr>
            <w:tcW w:w="12135" w:type="dxa"/>
            <w:gridSpan w:val="6"/>
            <w:shd w:val="clear" w:color="auto" w:fill="D0CECE" w:themeFill="background2" w:themeFillShade="E6"/>
          </w:tcPr>
          <w:p w14:paraId="314905B8" w14:textId="77777777" w:rsidR="00BD3C8E" w:rsidRPr="0083254F" w:rsidRDefault="00BD3C8E" w:rsidP="00BD3C8E">
            <w:pPr>
              <w:rPr>
                <w:lang w:val="en-GB"/>
              </w:rPr>
            </w:pPr>
            <w:r w:rsidRPr="0083254F">
              <w:rPr>
                <w:b/>
                <w:lang w:val="en-GB"/>
              </w:rPr>
              <w:t xml:space="preserve">Corresponding SDG target: </w:t>
            </w:r>
            <w:r w:rsidRPr="0083254F">
              <w:rPr>
                <w:b/>
                <w:u w:val="single"/>
                <w:lang w:val="en-GB"/>
              </w:rPr>
              <w:t>1.4</w:t>
            </w:r>
            <w:r w:rsidRPr="0083254F">
              <w:rPr>
                <w:b/>
                <w:lang w:val="en-GB"/>
              </w:rPr>
              <w:t xml:space="preserve">, </w:t>
            </w:r>
            <w:r w:rsidRPr="0083254F">
              <w:rPr>
                <w:b/>
                <w:u w:val="single"/>
                <w:lang w:val="en-GB"/>
              </w:rPr>
              <w:t>5.a</w:t>
            </w:r>
            <w:r w:rsidRPr="0083254F">
              <w:rPr>
                <w:lang w:val="en-GB"/>
              </w:rPr>
              <w:t>, and</w:t>
            </w:r>
            <w:r w:rsidRPr="0083254F">
              <w:rPr>
                <w:b/>
                <w:lang w:val="en-GB"/>
              </w:rPr>
              <w:t xml:space="preserve"> </w:t>
            </w:r>
            <w:r w:rsidRPr="0083254F">
              <w:rPr>
                <w:b/>
                <w:u w:val="single"/>
                <w:lang w:val="en-GB"/>
              </w:rPr>
              <w:t>8.10</w:t>
            </w:r>
          </w:p>
          <w:p w14:paraId="596D2627" w14:textId="77777777" w:rsidR="00BD3C8E" w:rsidRPr="0083254F" w:rsidRDefault="00BD3C8E" w:rsidP="00BD3C8E">
            <w:pPr>
              <w:rPr>
                <w:lang w:val="en-GB"/>
              </w:rPr>
            </w:pPr>
            <w:r w:rsidRPr="0083254F">
              <w:rPr>
                <w:b/>
                <w:lang w:val="en-GB"/>
              </w:rPr>
              <w:t>Related UNCDF IRRM 2014-2017 indicator:</w:t>
            </w:r>
            <w:r w:rsidRPr="0083254F">
              <w:rPr>
                <w:lang w:val="en-GB"/>
              </w:rPr>
              <w:t xml:space="preserve"> Amended Outcome indicator 3.a.</w:t>
            </w:r>
          </w:p>
          <w:p w14:paraId="4B5D9CDB" w14:textId="77777777" w:rsidR="00BD3C8E" w:rsidRPr="0083254F" w:rsidRDefault="00BD3C8E" w:rsidP="00BD3C8E">
            <w:pPr>
              <w:rPr>
                <w:lang w:val="en-GB"/>
              </w:rPr>
            </w:pPr>
            <w:r w:rsidRPr="0083254F">
              <w:rPr>
                <w:b/>
                <w:lang w:val="en-GB"/>
              </w:rPr>
              <w:t xml:space="preserve">Data source: </w:t>
            </w:r>
            <w:r w:rsidRPr="0083254F">
              <w:rPr>
                <w:lang w:val="en-GB"/>
              </w:rPr>
              <w:t>Project reports</w:t>
            </w:r>
          </w:p>
          <w:p w14:paraId="61574C9B" w14:textId="0EFB72F2" w:rsidR="00BD3C8E" w:rsidRPr="0083254F" w:rsidRDefault="00BD3C8E" w:rsidP="00BD3C8E">
            <w:pPr>
              <w:rPr>
                <w:lang w:val="en-GB"/>
              </w:rPr>
            </w:pPr>
            <w:r w:rsidRPr="0083254F">
              <w:rPr>
                <w:b/>
                <w:lang w:val="en-GB"/>
              </w:rPr>
              <w:t>Approach to the indicator</w:t>
            </w:r>
            <w:r>
              <w:rPr>
                <w:b/>
                <w:lang w:val="en-GB"/>
              </w:rPr>
              <w:t xml:space="preserve"> (cumulative)</w:t>
            </w:r>
            <w:r w:rsidRPr="0083254F">
              <w:rPr>
                <w:b/>
                <w:lang w:val="en-GB"/>
              </w:rPr>
              <w:t xml:space="preserve">: </w:t>
            </w:r>
            <w:r w:rsidRPr="0083254F">
              <w:rPr>
                <w:lang w:val="en-GB"/>
              </w:rPr>
              <w:t>Implementation rate will be primarily based on Making Access Possible (MAP) project data</w:t>
            </w:r>
            <w:r>
              <w:rPr>
                <w:lang w:val="en-GB"/>
              </w:rPr>
              <w:t xml:space="preserve"> and Better Than Cash Alliance (BTCA) indicator 2.4. </w:t>
            </w:r>
          </w:p>
        </w:tc>
      </w:tr>
      <w:tr w:rsidR="00BD3C8E" w:rsidRPr="001A3A92" w14:paraId="3E2991B6" w14:textId="77777777" w:rsidTr="00B56D94">
        <w:tc>
          <w:tcPr>
            <w:tcW w:w="815" w:type="dxa"/>
            <w:vMerge w:val="restart"/>
          </w:tcPr>
          <w:p w14:paraId="6A6CE9B4" w14:textId="77777777" w:rsidR="00BD3C8E" w:rsidRPr="0083254F" w:rsidRDefault="00BD3C8E" w:rsidP="00BD3C8E">
            <w:pPr>
              <w:rPr>
                <w:lang w:val="en-GB"/>
              </w:rPr>
            </w:pPr>
            <w:r w:rsidRPr="0083254F">
              <w:rPr>
                <w:lang w:val="en-GB"/>
              </w:rPr>
              <w:t>1.</w:t>
            </w:r>
            <w:r>
              <w:rPr>
                <w:lang w:val="en-GB"/>
              </w:rPr>
              <w:t>5</w:t>
            </w:r>
          </w:p>
        </w:tc>
        <w:tc>
          <w:tcPr>
            <w:tcW w:w="4235" w:type="dxa"/>
          </w:tcPr>
          <w:p w14:paraId="6F4E8377" w14:textId="2DBA5CF4" w:rsidR="00BD3C8E" w:rsidRPr="0083254F" w:rsidRDefault="00BD3C8E" w:rsidP="00BD3C8E">
            <w:pPr>
              <w:rPr>
                <w:lang w:val="en-GB"/>
              </w:rPr>
            </w:pPr>
            <w:r>
              <w:rPr>
                <w:lang w:val="en-GB"/>
              </w:rPr>
              <w:t>Percentage of targeted countries shifting market development stage in Digital Finance Service (DFS) market systems measured by supply, demand, policy and regulations and ecosystems, disaggregated by market development stage</w:t>
            </w:r>
          </w:p>
          <w:p w14:paraId="32166DB5" w14:textId="77777777" w:rsidR="00BD3C8E" w:rsidRPr="0083254F" w:rsidRDefault="00BD3C8E" w:rsidP="00BD3C8E">
            <w:pPr>
              <w:rPr>
                <w:lang w:val="en-GB"/>
              </w:rPr>
            </w:pPr>
          </w:p>
        </w:tc>
        <w:tc>
          <w:tcPr>
            <w:tcW w:w="2530" w:type="dxa"/>
          </w:tcPr>
          <w:p w14:paraId="6B44620F" w14:textId="77777777" w:rsidR="00BD3C8E" w:rsidRDefault="00BD3C8E" w:rsidP="00BD3C8E">
            <w:pPr>
              <w:rPr>
                <w:lang w:val="en-GB"/>
              </w:rPr>
            </w:pPr>
            <w:r>
              <w:rPr>
                <w:lang w:val="en-GB"/>
              </w:rPr>
              <w:t>50% (5 out of 10 countries)</w:t>
            </w:r>
          </w:p>
          <w:p w14:paraId="1C4A87FC" w14:textId="77777777" w:rsidR="00BD3C8E" w:rsidRDefault="00BD3C8E" w:rsidP="00BD3C8E">
            <w:pPr>
              <w:rPr>
                <w:lang w:val="en-GB"/>
              </w:rPr>
            </w:pPr>
          </w:p>
          <w:p w14:paraId="3BFCAB8A" w14:textId="77777777" w:rsidR="00BD3C8E" w:rsidRDefault="00BD3C8E" w:rsidP="004A3BD8">
            <w:pPr>
              <w:rPr>
                <w:lang w:val="en-GB"/>
              </w:rPr>
            </w:pPr>
            <w:r>
              <w:rPr>
                <w:lang w:val="en-GB"/>
              </w:rPr>
              <w:t>a) Inception: 0%</w:t>
            </w:r>
          </w:p>
          <w:p w14:paraId="6D8EC1DA" w14:textId="77777777" w:rsidR="00BD3C8E" w:rsidRDefault="00BD3C8E" w:rsidP="004A3BD8">
            <w:pPr>
              <w:rPr>
                <w:lang w:val="en-GB"/>
              </w:rPr>
            </w:pPr>
            <w:r>
              <w:rPr>
                <w:lang w:val="en-GB"/>
              </w:rPr>
              <w:t>b) Start-Up: 50%</w:t>
            </w:r>
          </w:p>
          <w:p w14:paraId="1D13C064" w14:textId="77777777" w:rsidR="00BD3C8E" w:rsidRDefault="00BD3C8E" w:rsidP="00470289">
            <w:pPr>
              <w:rPr>
                <w:lang w:val="en-GB"/>
              </w:rPr>
            </w:pPr>
            <w:r>
              <w:rPr>
                <w:lang w:val="en-GB"/>
              </w:rPr>
              <w:t>c) Expansion: 50%</w:t>
            </w:r>
          </w:p>
          <w:p w14:paraId="217B8DCD" w14:textId="07FC1092" w:rsidR="00BD3C8E" w:rsidRPr="004A3BD8" w:rsidRDefault="00BD3C8E" w:rsidP="00E65899">
            <w:pPr>
              <w:rPr>
                <w:lang w:val="en-GB"/>
              </w:rPr>
            </w:pPr>
            <w:r>
              <w:rPr>
                <w:lang w:val="en-GB"/>
              </w:rPr>
              <w:t>d) Consolidation: 0%</w:t>
            </w:r>
          </w:p>
        </w:tc>
        <w:tc>
          <w:tcPr>
            <w:tcW w:w="1395" w:type="dxa"/>
          </w:tcPr>
          <w:p w14:paraId="1BFBAB2C" w14:textId="77777777" w:rsidR="00BD3C8E" w:rsidRPr="0083254F" w:rsidRDefault="00BD3C8E" w:rsidP="00BD3C8E">
            <w:pPr>
              <w:rPr>
                <w:lang w:val="en-GB"/>
              </w:rPr>
            </w:pPr>
            <w:r w:rsidRPr="0083254F">
              <w:rPr>
                <w:lang w:val="en-GB"/>
              </w:rPr>
              <w:t>N/A</w:t>
            </w:r>
          </w:p>
        </w:tc>
        <w:tc>
          <w:tcPr>
            <w:tcW w:w="1325" w:type="dxa"/>
          </w:tcPr>
          <w:p w14:paraId="74F0DD16" w14:textId="5A779CF8" w:rsidR="00BD3C8E" w:rsidRDefault="00BD3C8E" w:rsidP="00BD3C8E">
            <w:pPr>
              <w:rPr>
                <w:lang w:val="en-GB"/>
              </w:rPr>
            </w:pPr>
            <w:r>
              <w:rPr>
                <w:lang w:val="en-GB"/>
              </w:rPr>
              <w:t xml:space="preserve">50% </w:t>
            </w:r>
          </w:p>
          <w:p w14:paraId="575E96B1" w14:textId="77777777" w:rsidR="00BD3C8E" w:rsidRDefault="00BD3C8E" w:rsidP="00BD3C8E">
            <w:pPr>
              <w:rPr>
                <w:lang w:val="en-GB"/>
              </w:rPr>
            </w:pPr>
          </w:p>
          <w:p w14:paraId="62C7EE53" w14:textId="2B9599EF" w:rsidR="00BD3C8E" w:rsidRDefault="00BD3C8E" w:rsidP="00BD3C8E">
            <w:pPr>
              <w:rPr>
                <w:lang w:val="en-GB"/>
              </w:rPr>
            </w:pPr>
            <w:r>
              <w:rPr>
                <w:lang w:val="en-GB"/>
              </w:rPr>
              <w:t>a) 0%</w:t>
            </w:r>
          </w:p>
          <w:p w14:paraId="2B0EC0D1" w14:textId="2AA6AA11" w:rsidR="00BD3C8E" w:rsidRDefault="00BD3C8E" w:rsidP="00BD3C8E">
            <w:pPr>
              <w:rPr>
                <w:lang w:val="en-GB"/>
              </w:rPr>
            </w:pPr>
            <w:r>
              <w:rPr>
                <w:lang w:val="en-GB"/>
              </w:rPr>
              <w:t xml:space="preserve">b) </w:t>
            </w:r>
            <w:r w:rsidR="001A3A92">
              <w:rPr>
                <w:lang w:val="en-GB"/>
              </w:rPr>
              <w:t>2</w:t>
            </w:r>
            <w:r>
              <w:rPr>
                <w:lang w:val="en-GB"/>
              </w:rPr>
              <w:t>0%</w:t>
            </w:r>
          </w:p>
          <w:p w14:paraId="7007E385" w14:textId="6AFE61AD" w:rsidR="00BD3C8E" w:rsidRDefault="00BD3C8E" w:rsidP="00BD3C8E">
            <w:pPr>
              <w:rPr>
                <w:lang w:val="en-GB"/>
              </w:rPr>
            </w:pPr>
            <w:r>
              <w:rPr>
                <w:lang w:val="en-GB"/>
              </w:rPr>
              <w:t xml:space="preserve">c) </w:t>
            </w:r>
            <w:r w:rsidR="001A3A92">
              <w:rPr>
                <w:lang w:val="en-GB"/>
              </w:rPr>
              <w:t>6</w:t>
            </w:r>
            <w:r>
              <w:rPr>
                <w:lang w:val="en-GB"/>
              </w:rPr>
              <w:t>0%</w:t>
            </w:r>
          </w:p>
          <w:p w14:paraId="20E26538" w14:textId="6D913E06" w:rsidR="00BD3C8E" w:rsidRPr="0083254F" w:rsidRDefault="00BD3C8E" w:rsidP="00BD3C8E">
            <w:pPr>
              <w:rPr>
                <w:lang w:val="en-GB"/>
              </w:rPr>
            </w:pPr>
            <w:r>
              <w:rPr>
                <w:lang w:val="en-GB"/>
              </w:rPr>
              <w:t xml:space="preserve">d) </w:t>
            </w:r>
            <w:r w:rsidR="001A3A92">
              <w:rPr>
                <w:lang w:val="en-GB"/>
              </w:rPr>
              <w:t>2</w:t>
            </w:r>
            <w:r>
              <w:rPr>
                <w:lang w:val="en-GB"/>
              </w:rPr>
              <w:t>0%</w:t>
            </w:r>
          </w:p>
        </w:tc>
        <w:tc>
          <w:tcPr>
            <w:tcW w:w="1325" w:type="dxa"/>
          </w:tcPr>
          <w:p w14:paraId="2851CB98" w14:textId="77777777" w:rsidR="00BD3C8E" w:rsidRPr="0083254F" w:rsidRDefault="00BD3C8E" w:rsidP="00BD3C8E">
            <w:pPr>
              <w:rPr>
                <w:lang w:val="en-GB"/>
              </w:rPr>
            </w:pPr>
            <w:r w:rsidRPr="0083254F">
              <w:rPr>
                <w:lang w:val="en-GB"/>
              </w:rPr>
              <w:t>N/A</w:t>
            </w:r>
          </w:p>
        </w:tc>
        <w:tc>
          <w:tcPr>
            <w:tcW w:w="1325" w:type="dxa"/>
          </w:tcPr>
          <w:p w14:paraId="07DE1D5B" w14:textId="758E7CDA" w:rsidR="001A3A92" w:rsidRPr="00FE7C74" w:rsidRDefault="001A3A92" w:rsidP="001A3A92">
            <w:pPr>
              <w:rPr>
                <w:lang w:val="en-GB"/>
              </w:rPr>
            </w:pPr>
            <w:r>
              <w:rPr>
                <w:lang w:val="en-GB"/>
              </w:rPr>
              <w:t>50</w:t>
            </w:r>
            <w:r w:rsidRPr="00FE7C74">
              <w:rPr>
                <w:lang w:val="en-GB"/>
              </w:rPr>
              <w:t>%</w:t>
            </w:r>
            <w:r w:rsidRPr="00FE7C74">
              <w:rPr>
                <w:rStyle w:val="FootnoteReference"/>
                <w:color w:val="auto"/>
                <w:lang w:val="en-GB"/>
              </w:rPr>
              <w:footnoteReference w:id="6"/>
            </w:r>
            <w:r w:rsidRPr="00FE7C74">
              <w:rPr>
                <w:lang w:val="en-GB"/>
              </w:rPr>
              <w:t xml:space="preserve"> </w:t>
            </w:r>
          </w:p>
          <w:p w14:paraId="6F18D7F7" w14:textId="77777777" w:rsidR="001A3A92" w:rsidRPr="00FE7C74" w:rsidRDefault="001A3A92" w:rsidP="001A3A92">
            <w:pPr>
              <w:rPr>
                <w:lang w:val="fr-FR"/>
              </w:rPr>
            </w:pPr>
          </w:p>
          <w:p w14:paraId="27220981" w14:textId="77777777" w:rsidR="001A3A92" w:rsidRPr="00FE7C74" w:rsidRDefault="001A3A92" w:rsidP="001A3A92">
            <w:pPr>
              <w:rPr>
                <w:lang w:val="fr-FR"/>
              </w:rPr>
            </w:pPr>
            <w:r w:rsidRPr="00FE7C74">
              <w:rPr>
                <w:lang w:val="fr-FR"/>
              </w:rPr>
              <w:t>a) 0%</w:t>
            </w:r>
          </w:p>
          <w:p w14:paraId="5FD36D8E" w14:textId="60C557BD" w:rsidR="001A3A92" w:rsidRPr="00FE7C74" w:rsidRDefault="001A3A92" w:rsidP="001A3A92">
            <w:pPr>
              <w:rPr>
                <w:lang w:val="fr-FR"/>
              </w:rPr>
            </w:pPr>
            <w:r w:rsidRPr="00FE7C74">
              <w:rPr>
                <w:lang w:val="fr-FR"/>
              </w:rPr>
              <w:t>b) 0%</w:t>
            </w:r>
          </w:p>
          <w:p w14:paraId="4D1EDCAB" w14:textId="77777777" w:rsidR="001A3A92" w:rsidRPr="00B56D94" w:rsidRDefault="001A3A92" w:rsidP="001A3A92">
            <w:pPr>
              <w:rPr>
                <w:lang w:val="fr-FR"/>
              </w:rPr>
            </w:pPr>
            <w:r w:rsidRPr="00FE7C74">
              <w:rPr>
                <w:lang w:val="fr-FR"/>
              </w:rPr>
              <w:t>c) 60</w:t>
            </w:r>
            <w:r w:rsidRPr="00B56D94">
              <w:rPr>
                <w:lang w:val="fr-FR"/>
              </w:rPr>
              <w:t>%</w:t>
            </w:r>
          </w:p>
          <w:p w14:paraId="64FC4D2D" w14:textId="3C806642" w:rsidR="00BD3C8E" w:rsidRPr="00B56D94" w:rsidRDefault="001A3A92" w:rsidP="001A3A92">
            <w:pPr>
              <w:rPr>
                <w:lang w:val="fr-FR"/>
              </w:rPr>
            </w:pPr>
            <w:r w:rsidRPr="00B56D94">
              <w:rPr>
                <w:lang w:val="fr-FR"/>
              </w:rPr>
              <w:t xml:space="preserve">d) </w:t>
            </w:r>
            <w:r>
              <w:rPr>
                <w:lang w:val="fr-FR"/>
              </w:rPr>
              <w:t>4</w:t>
            </w:r>
            <w:r w:rsidRPr="00B56D94">
              <w:rPr>
                <w:lang w:val="fr-FR"/>
              </w:rPr>
              <w:t>0%</w:t>
            </w:r>
          </w:p>
        </w:tc>
      </w:tr>
      <w:tr w:rsidR="00BD3C8E" w:rsidRPr="0083254F" w14:paraId="0F5A7704" w14:textId="77777777" w:rsidTr="00BD3C8E">
        <w:tc>
          <w:tcPr>
            <w:tcW w:w="815" w:type="dxa"/>
            <w:vMerge/>
          </w:tcPr>
          <w:p w14:paraId="5BC7CF34" w14:textId="77777777" w:rsidR="00BD3C8E" w:rsidRPr="00B56D94" w:rsidRDefault="00BD3C8E" w:rsidP="00BD3C8E">
            <w:pPr>
              <w:rPr>
                <w:lang w:val="fr-FR"/>
              </w:rPr>
            </w:pPr>
          </w:p>
        </w:tc>
        <w:tc>
          <w:tcPr>
            <w:tcW w:w="12135" w:type="dxa"/>
            <w:gridSpan w:val="6"/>
            <w:shd w:val="clear" w:color="auto" w:fill="D0CECE" w:themeFill="background2" w:themeFillShade="E6"/>
          </w:tcPr>
          <w:p w14:paraId="1B64E0CC" w14:textId="77777777" w:rsidR="00BD3C8E" w:rsidRPr="0083254F" w:rsidRDefault="00BD3C8E" w:rsidP="00BD3C8E">
            <w:pPr>
              <w:rPr>
                <w:lang w:val="en-GB"/>
              </w:rPr>
            </w:pPr>
            <w:r w:rsidRPr="0083254F">
              <w:rPr>
                <w:b/>
                <w:lang w:val="en-GB"/>
              </w:rPr>
              <w:t xml:space="preserve">Corresponding SDG target: </w:t>
            </w:r>
            <w:r w:rsidRPr="0083254F">
              <w:rPr>
                <w:b/>
                <w:u w:val="single"/>
                <w:lang w:val="en-GB"/>
              </w:rPr>
              <w:t>1.4</w:t>
            </w:r>
            <w:r w:rsidRPr="0083254F">
              <w:rPr>
                <w:b/>
                <w:lang w:val="en-GB"/>
              </w:rPr>
              <w:t xml:space="preserve">, </w:t>
            </w:r>
            <w:r w:rsidRPr="0083254F">
              <w:rPr>
                <w:b/>
                <w:u w:val="single"/>
                <w:lang w:val="en-GB"/>
              </w:rPr>
              <w:t>5.a</w:t>
            </w:r>
            <w:r w:rsidRPr="0083254F">
              <w:rPr>
                <w:lang w:val="en-GB"/>
              </w:rPr>
              <w:t>, and</w:t>
            </w:r>
            <w:r w:rsidRPr="0083254F">
              <w:rPr>
                <w:b/>
                <w:lang w:val="en-GB"/>
              </w:rPr>
              <w:t xml:space="preserve"> </w:t>
            </w:r>
            <w:r w:rsidRPr="0083254F">
              <w:rPr>
                <w:b/>
                <w:u w:val="single"/>
                <w:lang w:val="en-GB"/>
              </w:rPr>
              <w:t>8.10</w:t>
            </w:r>
          </w:p>
          <w:p w14:paraId="0810C2F6" w14:textId="77777777" w:rsidR="00BD3C8E" w:rsidRPr="0083254F" w:rsidRDefault="00BD3C8E" w:rsidP="00BD3C8E">
            <w:pPr>
              <w:rPr>
                <w:lang w:val="en-GB"/>
              </w:rPr>
            </w:pPr>
            <w:r w:rsidRPr="0083254F">
              <w:rPr>
                <w:b/>
                <w:lang w:val="en-GB"/>
              </w:rPr>
              <w:t>Related UNCDF IRRM 2014-2017 indicator:</w:t>
            </w:r>
            <w:r w:rsidRPr="0083254F">
              <w:rPr>
                <w:lang w:val="en-GB"/>
              </w:rPr>
              <w:t xml:space="preserve"> New. </w:t>
            </w:r>
          </w:p>
          <w:p w14:paraId="06140A79" w14:textId="77777777" w:rsidR="00BD3C8E" w:rsidRPr="0083254F" w:rsidRDefault="00BD3C8E" w:rsidP="00BD3C8E">
            <w:pPr>
              <w:rPr>
                <w:lang w:val="en-GB"/>
              </w:rPr>
            </w:pPr>
            <w:r w:rsidRPr="0083254F">
              <w:rPr>
                <w:b/>
                <w:lang w:val="en-GB"/>
              </w:rPr>
              <w:t>Data source:</w:t>
            </w:r>
            <w:r w:rsidRPr="0083254F">
              <w:rPr>
                <w:lang w:val="en-GB"/>
              </w:rPr>
              <w:t xml:space="preserve"> DFS Country Survey, Project reports</w:t>
            </w:r>
          </w:p>
          <w:p w14:paraId="49E272C9" w14:textId="23089291" w:rsidR="00BD3C8E" w:rsidRPr="0083254F" w:rsidRDefault="00BD3C8E" w:rsidP="00BD3C8E">
            <w:pPr>
              <w:rPr>
                <w:lang w:val="en-GB"/>
              </w:rPr>
            </w:pPr>
            <w:r w:rsidRPr="0083254F">
              <w:rPr>
                <w:b/>
                <w:lang w:val="en-GB"/>
              </w:rPr>
              <w:t>Approach to the indicator</w:t>
            </w:r>
            <w:r w:rsidR="001A3A92">
              <w:rPr>
                <w:b/>
                <w:lang w:val="en-GB"/>
              </w:rPr>
              <w:t xml:space="preserve"> (incremental)</w:t>
            </w:r>
            <w:r w:rsidRPr="0083254F">
              <w:rPr>
                <w:b/>
                <w:lang w:val="en-GB"/>
              </w:rPr>
              <w:t xml:space="preserve">: </w:t>
            </w:r>
            <w:r w:rsidRPr="0083254F">
              <w:rPr>
                <w:lang w:val="en-GB"/>
              </w:rPr>
              <w:t xml:space="preserve">Track changes of the </w:t>
            </w:r>
            <w:r w:rsidR="001A3A92">
              <w:rPr>
                <w:lang w:val="en-GB"/>
              </w:rPr>
              <w:t>multidimensional</w:t>
            </w:r>
            <w:r w:rsidR="001A3A92" w:rsidRPr="0083254F">
              <w:rPr>
                <w:lang w:val="en-GB"/>
              </w:rPr>
              <w:t xml:space="preserve"> </w:t>
            </w:r>
            <w:r w:rsidRPr="0083254F">
              <w:rPr>
                <w:lang w:val="en-GB"/>
              </w:rPr>
              <w:t>index examining the quality of DFS market systems that received support from UNCDF. The indicator is proposed to be measured once every two years since it is tracking changes at market systems level.</w:t>
            </w:r>
            <w:r w:rsidR="001A3A92">
              <w:rPr>
                <w:lang w:val="en-GB"/>
              </w:rPr>
              <w:t xml:space="preserve"> Disaggregation is to report percentage of countries in certain market development stage.</w:t>
            </w:r>
            <w:r w:rsidRPr="0083254F">
              <w:rPr>
                <w:lang w:val="en-GB"/>
              </w:rPr>
              <w:t xml:space="preserve"> </w:t>
            </w:r>
          </w:p>
        </w:tc>
      </w:tr>
      <w:tr w:rsidR="00BD3C8E" w:rsidRPr="0083254F" w14:paraId="0F037802" w14:textId="77777777" w:rsidTr="00B56D94">
        <w:tc>
          <w:tcPr>
            <w:tcW w:w="815" w:type="dxa"/>
            <w:vMerge w:val="restart"/>
          </w:tcPr>
          <w:p w14:paraId="1C94A0CF" w14:textId="77777777" w:rsidR="00BD3C8E" w:rsidRPr="0083254F" w:rsidRDefault="00BD3C8E" w:rsidP="00BD3C8E">
            <w:pPr>
              <w:rPr>
                <w:lang w:val="en-GB"/>
              </w:rPr>
            </w:pPr>
            <w:r>
              <w:rPr>
                <w:lang w:val="en-GB"/>
              </w:rPr>
              <w:t>1.6</w:t>
            </w:r>
          </w:p>
        </w:tc>
        <w:tc>
          <w:tcPr>
            <w:tcW w:w="4235" w:type="dxa"/>
          </w:tcPr>
          <w:p w14:paraId="0CE9DC33" w14:textId="18DDD7F6" w:rsidR="00BD3C8E" w:rsidRDefault="00BD3C8E" w:rsidP="00BD3C8E">
            <w:pPr>
              <w:rPr>
                <w:lang w:val="en-GB"/>
              </w:rPr>
            </w:pPr>
            <w:r>
              <w:rPr>
                <w:lang w:val="en-GB"/>
              </w:rPr>
              <w:t xml:space="preserve">Percentage of targeted local governments </w:t>
            </w:r>
            <w:r>
              <w:rPr>
                <w:lang w:val="en-GB"/>
              </w:rPr>
              <w:lastRenderedPageBreak/>
              <w:t>enhancing local development finance systems</w:t>
            </w:r>
            <w:r w:rsidR="00C721C6">
              <w:rPr>
                <w:lang w:val="en-GB"/>
              </w:rPr>
              <w:t xml:space="preserve"> measured</w:t>
            </w:r>
            <w:r>
              <w:rPr>
                <w:lang w:val="en-GB"/>
              </w:rPr>
              <w:t xml:space="preserve"> by areas mobilisation, allocation, investment and transparency</w:t>
            </w:r>
          </w:p>
          <w:p w14:paraId="6767D691" w14:textId="77777777" w:rsidR="00BD3C8E" w:rsidRPr="0083254F" w:rsidRDefault="00BD3C8E" w:rsidP="00BD3C8E">
            <w:pPr>
              <w:rPr>
                <w:lang w:val="en-GB"/>
              </w:rPr>
            </w:pPr>
          </w:p>
        </w:tc>
        <w:tc>
          <w:tcPr>
            <w:tcW w:w="2530" w:type="dxa"/>
          </w:tcPr>
          <w:p w14:paraId="159F5884" w14:textId="3FDF88BB" w:rsidR="00BD3C8E" w:rsidRPr="0083254F" w:rsidRDefault="001A3A92" w:rsidP="00BD3C8E">
            <w:pPr>
              <w:rPr>
                <w:lang w:val="en-GB"/>
              </w:rPr>
            </w:pPr>
            <w:r>
              <w:rPr>
                <w:lang w:val="en-GB"/>
              </w:rPr>
              <w:lastRenderedPageBreak/>
              <w:t>0</w:t>
            </w:r>
          </w:p>
        </w:tc>
        <w:tc>
          <w:tcPr>
            <w:tcW w:w="1395" w:type="dxa"/>
          </w:tcPr>
          <w:p w14:paraId="1D137049" w14:textId="77777777" w:rsidR="00BD3C8E" w:rsidRPr="0083254F" w:rsidRDefault="00BD3C8E" w:rsidP="00BD3C8E">
            <w:pPr>
              <w:rPr>
                <w:lang w:val="en-GB"/>
              </w:rPr>
            </w:pPr>
            <w:r w:rsidRPr="0083254F">
              <w:rPr>
                <w:lang w:val="en-GB"/>
              </w:rPr>
              <w:t>N/A</w:t>
            </w:r>
          </w:p>
        </w:tc>
        <w:tc>
          <w:tcPr>
            <w:tcW w:w="1325" w:type="dxa"/>
          </w:tcPr>
          <w:p w14:paraId="0DC75A11" w14:textId="1113F527" w:rsidR="00BD3C8E" w:rsidRPr="0083254F" w:rsidRDefault="00705900" w:rsidP="00BD3C8E">
            <w:pPr>
              <w:rPr>
                <w:lang w:val="en-GB"/>
              </w:rPr>
            </w:pPr>
            <w:r>
              <w:rPr>
                <w:lang w:val="en-GB"/>
              </w:rPr>
              <w:t>3</w:t>
            </w:r>
            <w:r w:rsidR="001A3A92">
              <w:rPr>
                <w:lang w:val="en-GB"/>
              </w:rPr>
              <w:t>0%</w:t>
            </w:r>
            <w:r>
              <w:rPr>
                <w:lang w:val="en-GB"/>
              </w:rPr>
              <w:t xml:space="preserve"> </w:t>
            </w:r>
            <w:r>
              <w:rPr>
                <w:lang w:val="en-GB"/>
              </w:rPr>
              <w:lastRenderedPageBreak/>
              <w:t>enhancing</w:t>
            </w:r>
            <w:r w:rsidR="001212D3">
              <w:rPr>
                <w:lang w:val="en-GB"/>
              </w:rPr>
              <w:t>;</w:t>
            </w:r>
            <w:r>
              <w:rPr>
                <w:lang w:val="en-GB"/>
              </w:rPr>
              <w:t xml:space="preserve"> 60% maintaining. </w:t>
            </w:r>
          </w:p>
        </w:tc>
        <w:tc>
          <w:tcPr>
            <w:tcW w:w="1325" w:type="dxa"/>
          </w:tcPr>
          <w:p w14:paraId="33D704D6" w14:textId="77777777" w:rsidR="00BD3C8E" w:rsidRPr="0083254F" w:rsidRDefault="00BD3C8E" w:rsidP="00BD3C8E">
            <w:pPr>
              <w:rPr>
                <w:lang w:val="en-GB"/>
              </w:rPr>
            </w:pPr>
            <w:r w:rsidRPr="0083254F">
              <w:rPr>
                <w:lang w:val="en-GB"/>
              </w:rPr>
              <w:lastRenderedPageBreak/>
              <w:t>N/A</w:t>
            </w:r>
          </w:p>
        </w:tc>
        <w:tc>
          <w:tcPr>
            <w:tcW w:w="1325" w:type="dxa"/>
          </w:tcPr>
          <w:p w14:paraId="5AE1443B" w14:textId="505D8D7A" w:rsidR="00BD3C8E" w:rsidRPr="0083254F" w:rsidRDefault="00705900" w:rsidP="00BD3C8E">
            <w:pPr>
              <w:rPr>
                <w:lang w:val="en-GB"/>
              </w:rPr>
            </w:pPr>
            <w:r>
              <w:rPr>
                <w:lang w:val="en-GB"/>
              </w:rPr>
              <w:t xml:space="preserve">40% </w:t>
            </w:r>
            <w:r>
              <w:rPr>
                <w:lang w:val="en-GB"/>
              </w:rPr>
              <w:lastRenderedPageBreak/>
              <w:t>enhancing</w:t>
            </w:r>
            <w:r w:rsidR="001212D3">
              <w:rPr>
                <w:lang w:val="en-GB"/>
              </w:rPr>
              <w:t>;</w:t>
            </w:r>
            <w:r>
              <w:rPr>
                <w:lang w:val="en-GB"/>
              </w:rPr>
              <w:t xml:space="preserve"> 50% maintaining.</w:t>
            </w:r>
          </w:p>
        </w:tc>
      </w:tr>
      <w:tr w:rsidR="00BD3C8E" w:rsidRPr="0083254F" w14:paraId="7D1272B1" w14:textId="77777777" w:rsidTr="00BD3C8E">
        <w:tc>
          <w:tcPr>
            <w:tcW w:w="815" w:type="dxa"/>
            <w:vMerge/>
          </w:tcPr>
          <w:p w14:paraId="131F9FC6" w14:textId="77777777" w:rsidR="00BD3C8E" w:rsidRPr="0083254F" w:rsidRDefault="00BD3C8E" w:rsidP="00BD3C8E">
            <w:pPr>
              <w:rPr>
                <w:lang w:val="en-GB"/>
              </w:rPr>
            </w:pPr>
          </w:p>
        </w:tc>
        <w:tc>
          <w:tcPr>
            <w:tcW w:w="12135" w:type="dxa"/>
            <w:gridSpan w:val="6"/>
            <w:shd w:val="clear" w:color="auto" w:fill="D0CECE" w:themeFill="background2" w:themeFillShade="E6"/>
          </w:tcPr>
          <w:p w14:paraId="3F412780" w14:textId="77777777" w:rsidR="00BD3C8E" w:rsidRPr="0083254F" w:rsidRDefault="00BD3C8E" w:rsidP="00BD3C8E">
            <w:pPr>
              <w:rPr>
                <w:lang w:val="en-GB"/>
              </w:rPr>
            </w:pPr>
            <w:r w:rsidRPr="0083254F">
              <w:rPr>
                <w:b/>
                <w:lang w:val="en-GB"/>
              </w:rPr>
              <w:t xml:space="preserve">Corresponding SDG target: </w:t>
            </w:r>
            <w:r w:rsidRPr="0083254F">
              <w:rPr>
                <w:b/>
                <w:u w:val="single"/>
                <w:lang w:val="en-GB"/>
              </w:rPr>
              <w:t>11.3</w:t>
            </w:r>
            <w:r w:rsidRPr="0083254F">
              <w:rPr>
                <w:lang w:val="en-GB"/>
              </w:rPr>
              <w:t xml:space="preserve"> By 2030, enhance inclusive and sustainable urbanization and capacity for participatory, integrated and sustainable human settlement planning and management in all countries, and; </w:t>
            </w:r>
            <w:r w:rsidRPr="0083254F">
              <w:rPr>
                <w:b/>
                <w:u w:val="single"/>
                <w:lang w:val="en-GB"/>
              </w:rPr>
              <w:t>17.1</w:t>
            </w:r>
            <w:r w:rsidRPr="0083254F">
              <w:rPr>
                <w:lang w:val="en-GB"/>
              </w:rPr>
              <w:t xml:space="preserve"> Strengthen domestic resource mobilization, including through international support to developing countries, to improve domestic capacity for tax and other revenue collection</w:t>
            </w:r>
          </w:p>
          <w:p w14:paraId="419538A9" w14:textId="77777777" w:rsidR="00BD3C8E" w:rsidRPr="0083254F" w:rsidRDefault="00BD3C8E" w:rsidP="00BD3C8E">
            <w:pPr>
              <w:rPr>
                <w:lang w:val="en-GB"/>
              </w:rPr>
            </w:pPr>
            <w:r w:rsidRPr="0083254F">
              <w:rPr>
                <w:b/>
                <w:lang w:val="en-GB"/>
              </w:rPr>
              <w:t>Related UNCDF IRRM 2014-2017 indicator:</w:t>
            </w:r>
            <w:r w:rsidRPr="0083254F">
              <w:rPr>
                <w:lang w:val="en-GB"/>
              </w:rPr>
              <w:t xml:space="preserve"> New. </w:t>
            </w:r>
          </w:p>
          <w:p w14:paraId="14AB7919" w14:textId="77777777" w:rsidR="00BD3C8E" w:rsidRPr="0083254F" w:rsidRDefault="00BD3C8E" w:rsidP="00BD3C8E">
            <w:pPr>
              <w:rPr>
                <w:lang w:val="en-GB"/>
              </w:rPr>
            </w:pPr>
            <w:r w:rsidRPr="0083254F">
              <w:rPr>
                <w:b/>
                <w:lang w:val="en-GB"/>
              </w:rPr>
              <w:t>Data source:</w:t>
            </w:r>
            <w:r w:rsidRPr="0083254F">
              <w:rPr>
                <w:lang w:val="en-GB"/>
              </w:rPr>
              <w:t xml:space="preserve"> Local Government Finance Mechanism survey, Project reports</w:t>
            </w:r>
          </w:p>
          <w:p w14:paraId="1151756C" w14:textId="753EACC0" w:rsidR="00BD3C8E" w:rsidRPr="0083254F" w:rsidRDefault="00BD3C8E" w:rsidP="00BD3C8E">
            <w:pPr>
              <w:rPr>
                <w:lang w:val="en-GB"/>
              </w:rPr>
            </w:pPr>
            <w:r w:rsidRPr="0083254F">
              <w:rPr>
                <w:b/>
                <w:lang w:val="en-GB"/>
              </w:rPr>
              <w:t>Approach to the indicator</w:t>
            </w:r>
            <w:r w:rsidR="001A3A92">
              <w:rPr>
                <w:b/>
                <w:lang w:val="en-GB"/>
              </w:rPr>
              <w:t xml:space="preserve"> (incremental)</w:t>
            </w:r>
            <w:r w:rsidRPr="0083254F">
              <w:rPr>
                <w:b/>
                <w:lang w:val="en-GB"/>
              </w:rPr>
              <w:t xml:space="preserve">: </w:t>
            </w:r>
            <w:r w:rsidRPr="0083254F">
              <w:rPr>
                <w:lang w:val="en-GB"/>
              </w:rPr>
              <w:t>T</w:t>
            </w:r>
            <w:r w:rsidR="00A27CD2">
              <w:rPr>
                <w:lang w:val="en-GB"/>
              </w:rPr>
              <w:t>he indicator t</w:t>
            </w:r>
            <w:r w:rsidRPr="0083254F">
              <w:rPr>
                <w:lang w:val="en-GB"/>
              </w:rPr>
              <w:t>rack</w:t>
            </w:r>
            <w:r w:rsidR="00A27CD2">
              <w:rPr>
                <w:lang w:val="en-GB"/>
              </w:rPr>
              <w:t>s</w:t>
            </w:r>
            <w:r w:rsidRPr="0083254F">
              <w:rPr>
                <w:lang w:val="en-GB"/>
              </w:rPr>
              <w:t xml:space="preserve"> changes </w:t>
            </w:r>
            <w:r>
              <w:rPr>
                <w:lang w:val="en-GB"/>
              </w:rPr>
              <w:t>o</w:t>
            </w:r>
            <w:r w:rsidRPr="0083254F">
              <w:rPr>
                <w:lang w:val="en-GB"/>
              </w:rPr>
              <w:t xml:space="preserve">f </w:t>
            </w:r>
            <w:r w:rsidR="00A27CD2">
              <w:rPr>
                <w:lang w:val="en-GB"/>
              </w:rPr>
              <w:t>a</w:t>
            </w:r>
            <w:r w:rsidR="00A27CD2" w:rsidRPr="0083254F">
              <w:rPr>
                <w:lang w:val="en-GB"/>
              </w:rPr>
              <w:t xml:space="preserve"> </w:t>
            </w:r>
            <w:r w:rsidRPr="0083254F">
              <w:rPr>
                <w:lang w:val="en-GB"/>
              </w:rPr>
              <w:t xml:space="preserve">composite index examining the quality of local government finance mechanisms supported by UNCDF. Mechanism are divided in dimensions of mobilization, allocation, investment and transparency. The indicator is proposed to be measured once every two years based on a sampling of the local government partners. </w:t>
            </w:r>
          </w:p>
        </w:tc>
      </w:tr>
      <w:tr w:rsidR="00BD3C8E" w:rsidRPr="0083254F" w14:paraId="282F73A0" w14:textId="77777777" w:rsidTr="00B56D94">
        <w:tc>
          <w:tcPr>
            <w:tcW w:w="815" w:type="dxa"/>
            <w:vMerge w:val="restart"/>
          </w:tcPr>
          <w:p w14:paraId="47C6F4EC" w14:textId="315A17E2" w:rsidR="00BD3C8E" w:rsidRPr="0083254F" w:rsidRDefault="00BD3C8E" w:rsidP="00BD3C8E">
            <w:pPr>
              <w:rPr>
                <w:lang w:val="en-GB"/>
              </w:rPr>
            </w:pPr>
            <w:bookmarkStart w:id="1" w:name="_Hlk499036166"/>
            <w:r w:rsidRPr="0083254F">
              <w:rPr>
                <w:lang w:val="en-GB"/>
              </w:rPr>
              <w:t>1.</w:t>
            </w:r>
            <w:r>
              <w:rPr>
                <w:lang w:val="en-GB"/>
              </w:rPr>
              <w:t>7</w:t>
            </w:r>
          </w:p>
        </w:tc>
        <w:tc>
          <w:tcPr>
            <w:tcW w:w="4235" w:type="dxa"/>
          </w:tcPr>
          <w:p w14:paraId="36AEEF0E" w14:textId="60763FCF" w:rsidR="00BD3C8E" w:rsidRPr="0083254F" w:rsidRDefault="00BD3C8E" w:rsidP="00BD3C8E">
            <w:pPr>
              <w:rPr>
                <w:lang w:val="en-GB"/>
              </w:rPr>
            </w:pPr>
            <w:r w:rsidRPr="00477BE3">
              <w:rPr>
                <w:lang w:val="en-GB"/>
              </w:rPr>
              <w:t>Number of UNCDF</w:t>
            </w:r>
            <w:r>
              <w:rPr>
                <w:lang w:val="en-GB"/>
              </w:rPr>
              <w:t>-supported local infrastructure</w:t>
            </w:r>
            <w:r w:rsidRPr="00477BE3">
              <w:rPr>
                <w:lang w:val="en-GB"/>
              </w:rPr>
              <w:t xml:space="preserve">s built and in use, disaggregated by </w:t>
            </w:r>
            <w:r>
              <w:rPr>
                <w:lang w:val="en-GB"/>
              </w:rPr>
              <w:t>sector</w:t>
            </w:r>
          </w:p>
        </w:tc>
        <w:tc>
          <w:tcPr>
            <w:tcW w:w="2530" w:type="dxa"/>
          </w:tcPr>
          <w:p w14:paraId="0E6B05DE" w14:textId="344658BC" w:rsidR="00BD3C8E" w:rsidRPr="0083254F" w:rsidRDefault="00815D10" w:rsidP="00BD3C8E">
            <w:pPr>
              <w:rPr>
                <w:lang w:val="en-GB"/>
              </w:rPr>
            </w:pPr>
            <w:r>
              <w:rPr>
                <w:lang w:val="en-GB"/>
              </w:rPr>
              <w:t>2</w:t>
            </w:r>
            <w:r w:rsidRPr="00FE7C74">
              <w:rPr>
                <w:lang w:val="en-GB"/>
              </w:rPr>
              <w:t>86</w:t>
            </w:r>
            <w:r w:rsidRPr="00FE7C74">
              <w:rPr>
                <w:rStyle w:val="FootnoteReference"/>
                <w:color w:val="auto"/>
                <w:lang w:val="en-GB"/>
              </w:rPr>
              <w:footnoteReference w:id="7"/>
            </w:r>
          </w:p>
        </w:tc>
        <w:tc>
          <w:tcPr>
            <w:tcW w:w="1395" w:type="dxa"/>
          </w:tcPr>
          <w:p w14:paraId="5EAB5284" w14:textId="04260475" w:rsidR="00BD3C8E" w:rsidRPr="0083254F" w:rsidRDefault="00320B7D" w:rsidP="00BD3C8E">
            <w:pPr>
              <w:rPr>
                <w:lang w:val="en-GB"/>
              </w:rPr>
            </w:pPr>
            <w:r>
              <w:rPr>
                <w:lang w:val="en-GB"/>
              </w:rPr>
              <w:t>3</w:t>
            </w:r>
            <w:r w:rsidR="00815D10">
              <w:rPr>
                <w:lang w:val="en-GB"/>
              </w:rPr>
              <w:t>00</w:t>
            </w:r>
          </w:p>
        </w:tc>
        <w:tc>
          <w:tcPr>
            <w:tcW w:w="1325" w:type="dxa"/>
          </w:tcPr>
          <w:p w14:paraId="510C61F6" w14:textId="3C217657" w:rsidR="00BD3C8E" w:rsidRPr="0083254F" w:rsidRDefault="00E34EE8" w:rsidP="00BD3C8E">
            <w:pPr>
              <w:rPr>
                <w:lang w:val="en-GB"/>
              </w:rPr>
            </w:pPr>
            <w:r>
              <w:rPr>
                <w:lang w:val="en-GB"/>
              </w:rPr>
              <w:t>3</w:t>
            </w:r>
            <w:r w:rsidR="00815D10">
              <w:rPr>
                <w:lang w:val="en-GB"/>
              </w:rPr>
              <w:t>20</w:t>
            </w:r>
          </w:p>
        </w:tc>
        <w:tc>
          <w:tcPr>
            <w:tcW w:w="1325" w:type="dxa"/>
          </w:tcPr>
          <w:p w14:paraId="052749F6" w14:textId="306E527D" w:rsidR="00BD3C8E" w:rsidRPr="0083254F" w:rsidRDefault="00E34EE8" w:rsidP="00BD3C8E">
            <w:pPr>
              <w:rPr>
                <w:lang w:val="en-GB"/>
              </w:rPr>
            </w:pPr>
            <w:r>
              <w:rPr>
                <w:lang w:val="en-GB"/>
              </w:rPr>
              <w:t>3</w:t>
            </w:r>
            <w:r w:rsidR="00815D10">
              <w:rPr>
                <w:lang w:val="en-GB"/>
              </w:rPr>
              <w:t>50</w:t>
            </w:r>
          </w:p>
        </w:tc>
        <w:tc>
          <w:tcPr>
            <w:tcW w:w="1325" w:type="dxa"/>
          </w:tcPr>
          <w:p w14:paraId="5ADE960E" w14:textId="3570DF03" w:rsidR="00BD3C8E" w:rsidRPr="0083254F" w:rsidRDefault="00E34EE8" w:rsidP="00BD3C8E">
            <w:pPr>
              <w:rPr>
                <w:lang w:val="en-GB"/>
              </w:rPr>
            </w:pPr>
            <w:r>
              <w:rPr>
                <w:lang w:val="en-GB"/>
              </w:rPr>
              <w:t>3</w:t>
            </w:r>
            <w:r w:rsidR="00815D10">
              <w:rPr>
                <w:lang w:val="en-GB"/>
              </w:rPr>
              <w:t>70</w:t>
            </w:r>
          </w:p>
        </w:tc>
      </w:tr>
      <w:tr w:rsidR="00BD3C8E" w:rsidRPr="0083254F" w14:paraId="7A41A4F3" w14:textId="77777777" w:rsidTr="00BD3C8E">
        <w:tc>
          <w:tcPr>
            <w:tcW w:w="815" w:type="dxa"/>
            <w:vMerge/>
          </w:tcPr>
          <w:p w14:paraId="3F73811D" w14:textId="77777777" w:rsidR="00BD3C8E" w:rsidRPr="0083254F" w:rsidRDefault="00BD3C8E" w:rsidP="00BD3C8E">
            <w:pPr>
              <w:rPr>
                <w:lang w:val="en-GB"/>
              </w:rPr>
            </w:pPr>
          </w:p>
        </w:tc>
        <w:tc>
          <w:tcPr>
            <w:tcW w:w="12135" w:type="dxa"/>
            <w:gridSpan w:val="6"/>
            <w:shd w:val="clear" w:color="auto" w:fill="D0CECE" w:themeFill="background2" w:themeFillShade="E6"/>
          </w:tcPr>
          <w:p w14:paraId="4D2D1405" w14:textId="77777777" w:rsidR="00BD3C8E" w:rsidRPr="0083254F" w:rsidRDefault="00BD3C8E" w:rsidP="00BD3C8E">
            <w:pPr>
              <w:rPr>
                <w:lang w:val="en-GB"/>
              </w:rPr>
            </w:pPr>
            <w:r w:rsidRPr="0083254F">
              <w:rPr>
                <w:b/>
                <w:lang w:val="en-GB"/>
              </w:rPr>
              <w:t xml:space="preserve">Corresponding SDG target: </w:t>
            </w:r>
            <w:r w:rsidRPr="0083254F">
              <w:rPr>
                <w:b/>
                <w:u w:val="single"/>
                <w:lang w:val="en-GB"/>
              </w:rPr>
              <w:t>9.1</w:t>
            </w:r>
            <w:r w:rsidRPr="0083254F">
              <w:rPr>
                <w:lang w:val="en-GB"/>
              </w:rPr>
              <w:t xml:space="preserve"> Develop quality, reliable, sustainable and resilient infrastructure, including regional and trans-border infrastructure, to support economic development and human well-being, with a focus on affordable and equitable access for all</w:t>
            </w:r>
          </w:p>
          <w:p w14:paraId="5565DF87" w14:textId="25280CB2" w:rsidR="00BD3C8E" w:rsidRPr="0083254F" w:rsidRDefault="00BD3C8E" w:rsidP="00BD3C8E">
            <w:pPr>
              <w:rPr>
                <w:lang w:val="en-GB"/>
              </w:rPr>
            </w:pPr>
            <w:r w:rsidRPr="0083254F">
              <w:rPr>
                <w:b/>
                <w:lang w:val="en-GB"/>
              </w:rPr>
              <w:t>Related UNCDF IRRM 2014-2017 indicator:</w:t>
            </w:r>
            <w:r w:rsidRPr="0083254F">
              <w:rPr>
                <w:lang w:val="en-GB"/>
              </w:rPr>
              <w:t xml:space="preserve"> Amended Output indicator 1.2.5</w:t>
            </w:r>
          </w:p>
          <w:p w14:paraId="403D2478" w14:textId="77777777" w:rsidR="00BD3C8E" w:rsidRPr="0083254F" w:rsidRDefault="00BD3C8E" w:rsidP="00BD3C8E">
            <w:pPr>
              <w:rPr>
                <w:lang w:val="en-GB"/>
              </w:rPr>
            </w:pPr>
            <w:r w:rsidRPr="0083254F">
              <w:rPr>
                <w:b/>
                <w:lang w:val="en-GB"/>
              </w:rPr>
              <w:t>Data source:</w:t>
            </w:r>
            <w:r w:rsidRPr="0083254F">
              <w:rPr>
                <w:lang w:val="en-GB"/>
              </w:rPr>
              <w:t xml:space="preserve"> Project reports</w:t>
            </w:r>
          </w:p>
          <w:p w14:paraId="11792C0C" w14:textId="77777777" w:rsidR="00A27CD2" w:rsidRDefault="00BD3C8E" w:rsidP="00BD3C8E">
            <w:pPr>
              <w:rPr>
                <w:lang w:val="en-GB"/>
              </w:rPr>
            </w:pPr>
            <w:r w:rsidRPr="0083254F">
              <w:rPr>
                <w:b/>
                <w:lang w:val="en-GB"/>
              </w:rPr>
              <w:t>Approach to the indicator</w:t>
            </w:r>
            <w:r w:rsidR="0079590F">
              <w:rPr>
                <w:b/>
                <w:lang w:val="en-GB"/>
              </w:rPr>
              <w:t xml:space="preserve"> (incremental)</w:t>
            </w:r>
            <w:r w:rsidRPr="0083254F">
              <w:rPr>
                <w:b/>
                <w:lang w:val="en-GB"/>
              </w:rPr>
              <w:t>:</w:t>
            </w:r>
            <w:r w:rsidRPr="0083254F">
              <w:rPr>
                <w:lang w:val="en-GB"/>
              </w:rPr>
              <w:t xml:space="preserve"> </w:t>
            </w:r>
            <w:r w:rsidR="0079590F">
              <w:rPr>
                <w:lang w:val="en-GB"/>
              </w:rPr>
              <w:t>Targets are set without disaggregation. Disaggregation will be introduced for reporting</w:t>
            </w:r>
            <w:r w:rsidR="00A27CD2">
              <w:rPr>
                <w:lang w:val="en-GB"/>
              </w:rPr>
              <w:t xml:space="preserve">. </w:t>
            </w:r>
          </w:p>
          <w:p w14:paraId="04ACF50D" w14:textId="55093129" w:rsidR="00BD3C8E" w:rsidRPr="0083254F" w:rsidRDefault="0079590F" w:rsidP="00BD3C8E">
            <w:pPr>
              <w:rPr>
                <w:lang w:val="en-GB"/>
              </w:rPr>
            </w:pPr>
            <w:r>
              <w:rPr>
                <w:lang w:val="en-GB"/>
              </w:rPr>
              <w:t xml:space="preserve"> </w:t>
            </w:r>
          </w:p>
        </w:tc>
      </w:tr>
      <w:bookmarkEnd w:id="1"/>
    </w:tbl>
    <w:p w14:paraId="6D4AA9A3" w14:textId="77777777" w:rsidR="00557601" w:rsidRPr="0083254F" w:rsidRDefault="00557601" w:rsidP="00557601">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476"/>
        <w:gridCol w:w="5639"/>
        <w:gridCol w:w="1859"/>
        <w:gridCol w:w="1244"/>
        <w:gridCol w:w="1244"/>
        <w:gridCol w:w="1244"/>
        <w:gridCol w:w="1244"/>
      </w:tblGrid>
      <w:tr w:rsidR="00D70690" w:rsidRPr="0083254F" w14:paraId="0BD11E6A" w14:textId="77777777" w:rsidTr="00FA71D8">
        <w:tc>
          <w:tcPr>
            <w:tcW w:w="12950" w:type="dxa"/>
            <w:gridSpan w:val="7"/>
            <w:shd w:val="clear" w:color="auto" w:fill="002060"/>
          </w:tcPr>
          <w:p w14:paraId="645AD603" w14:textId="77777777" w:rsidR="00D70690" w:rsidRPr="0083254F" w:rsidRDefault="00D70690" w:rsidP="00D70690">
            <w:pPr>
              <w:rPr>
                <w:b/>
                <w:color w:val="FFFF00"/>
                <w:sz w:val="24"/>
                <w:szCs w:val="24"/>
                <w:lang w:val="en-GB"/>
              </w:rPr>
            </w:pPr>
            <w:r w:rsidRPr="0083254F">
              <w:rPr>
                <w:b/>
                <w:color w:val="FFFF00"/>
                <w:sz w:val="24"/>
                <w:szCs w:val="24"/>
                <w:u w:val="single"/>
                <w:lang w:val="en-GB"/>
              </w:rPr>
              <w:t>Outcome 2:</w:t>
            </w:r>
            <w:r w:rsidRPr="0083254F">
              <w:rPr>
                <w:b/>
                <w:color w:val="FFFF00"/>
                <w:sz w:val="24"/>
                <w:szCs w:val="24"/>
                <w:lang w:val="en-GB"/>
              </w:rPr>
              <w:t xml:space="preserve"> Unlocked public and private finance for the poor</w:t>
            </w:r>
          </w:p>
        </w:tc>
      </w:tr>
      <w:tr w:rsidR="00D70690" w:rsidRPr="0083254F" w14:paraId="2C01FC4F" w14:textId="77777777" w:rsidTr="00B56D94">
        <w:tc>
          <w:tcPr>
            <w:tcW w:w="6115" w:type="dxa"/>
            <w:gridSpan w:val="2"/>
            <w:shd w:val="clear" w:color="auto" w:fill="F2F2F2" w:themeFill="background1" w:themeFillShade="F2"/>
          </w:tcPr>
          <w:p w14:paraId="70887C81" w14:textId="77777777" w:rsidR="00D70690" w:rsidRPr="0083254F" w:rsidRDefault="00D70690" w:rsidP="00D70690">
            <w:pPr>
              <w:rPr>
                <w:b/>
                <w:lang w:val="en-GB"/>
              </w:rPr>
            </w:pPr>
            <w:r w:rsidRPr="0083254F">
              <w:rPr>
                <w:b/>
                <w:lang w:val="en-GB"/>
              </w:rPr>
              <w:t>Outcome indicators</w:t>
            </w:r>
          </w:p>
        </w:tc>
        <w:tc>
          <w:tcPr>
            <w:tcW w:w="1859" w:type="dxa"/>
            <w:shd w:val="clear" w:color="auto" w:fill="F2F2F2" w:themeFill="background1" w:themeFillShade="F2"/>
          </w:tcPr>
          <w:p w14:paraId="3F1D6350" w14:textId="77777777" w:rsidR="00D70690" w:rsidRPr="0083254F" w:rsidRDefault="00D70690" w:rsidP="00D70690">
            <w:pPr>
              <w:jc w:val="center"/>
              <w:rPr>
                <w:b/>
                <w:lang w:val="en-GB"/>
              </w:rPr>
            </w:pPr>
            <w:r w:rsidRPr="0083254F">
              <w:rPr>
                <w:b/>
                <w:lang w:val="en-GB"/>
              </w:rPr>
              <w:t>Baseline</w:t>
            </w:r>
          </w:p>
        </w:tc>
        <w:tc>
          <w:tcPr>
            <w:tcW w:w="1244" w:type="dxa"/>
            <w:shd w:val="clear" w:color="auto" w:fill="F2F2F2" w:themeFill="background1" w:themeFillShade="F2"/>
          </w:tcPr>
          <w:p w14:paraId="6577D70A" w14:textId="77777777" w:rsidR="00D70690" w:rsidRPr="0083254F" w:rsidRDefault="00D70690" w:rsidP="00D70690">
            <w:pPr>
              <w:jc w:val="center"/>
              <w:rPr>
                <w:b/>
                <w:lang w:val="en-GB"/>
              </w:rPr>
            </w:pPr>
            <w:r w:rsidRPr="0083254F">
              <w:rPr>
                <w:b/>
                <w:lang w:val="en-GB"/>
              </w:rPr>
              <w:t>2018 Target</w:t>
            </w:r>
          </w:p>
        </w:tc>
        <w:tc>
          <w:tcPr>
            <w:tcW w:w="1244" w:type="dxa"/>
            <w:shd w:val="clear" w:color="auto" w:fill="F2F2F2" w:themeFill="background1" w:themeFillShade="F2"/>
          </w:tcPr>
          <w:p w14:paraId="418198D0" w14:textId="77777777" w:rsidR="00D70690" w:rsidRPr="0083254F" w:rsidRDefault="00D70690" w:rsidP="00D70690">
            <w:pPr>
              <w:jc w:val="center"/>
              <w:rPr>
                <w:b/>
                <w:lang w:val="en-GB"/>
              </w:rPr>
            </w:pPr>
            <w:r w:rsidRPr="0083254F">
              <w:rPr>
                <w:b/>
                <w:lang w:val="en-GB"/>
              </w:rPr>
              <w:t>2019 Target</w:t>
            </w:r>
          </w:p>
        </w:tc>
        <w:tc>
          <w:tcPr>
            <w:tcW w:w="1244" w:type="dxa"/>
            <w:shd w:val="clear" w:color="auto" w:fill="F2F2F2" w:themeFill="background1" w:themeFillShade="F2"/>
          </w:tcPr>
          <w:p w14:paraId="23D038E8" w14:textId="77777777" w:rsidR="00D70690" w:rsidRPr="0083254F" w:rsidRDefault="00D70690" w:rsidP="00D70690">
            <w:pPr>
              <w:jc w:val="center"/>
              <w:rPr>
                <w:b/>
                <w:lang w:val="en-GB"/>
              </w:rPr>
            </w:pPr>
            <w:r w:rsidRPr="0083254F">
              <w:rPr>
                <w:b/>
                <w:lang w:val="en-GB"/>
              </w:rPr>
              <w:t>2020 Target</w:t>
            </w:r>
          </w:p>
        </w:tc>
        <w:tc>
          <w:tcPr>
            <w:tcW w:w="1244" w:type="dxa"/>
            <w:shd w:val="clear" w:color="auto" w:fill="F2F2F2" w:themeFill="background1" w:themeFillShade="F2"/>
          </w:tcPr>
          <w:p w14:paraId="0623F1DA" w14:textId="77777777" w:rsidR="00D70690" w:rsidRPr="0083254F" w:rsidRDefault="00D70690" w:rsidP="00D70690">
            <w:pPr>
              <w:jc w:val="center"/>
              <w:rPr>
                <w:b/>
                <w:lang w:val="en-GB"/>
              </w:rPr>
            </w:pPr>
            <w:r w:rsidRPr="0083254F">
              <w:rPr>
                <w:b/>
                <w:lang w:val="en-GB"/>
              </w:rPr>
              <w:t>2021 Target</w:t>
            </w:r>
          </w:p>
        </w:tc>
      </w:tr>
      <w:tr w:rsidR="00D70690" w:rsidRPr="0083254F" w14:paraId="06C78398" w14:textId="77777777" w:rsidTr="00B56D94">
        <w:trPr>
          <w:trHeight w:val="1997"/>
        </w:trPr>
        <w:tc>
          <w:tcPr>
            <w:tcW w:w="476" w:type="dxa"/>
            <w:vMerge w:val="restart"/>
          </w:tcPr>
          <w:p w14:paraId="63391A72" w14:textId="77777777" w:rsidR="00D70690" w:rsidRPr="0083254F" w:rsidRDefault="00D70690" w:rsidP="00D70690">
            <w:pPr>
              <w:rPr>
                <w:lang w:val="en-GB"/>
              </w:rPr>
            </w:pPr>
            <w:r w:rsidRPr="0083254F">
              <w:rPr>
                <w:lang w:val="en-GB"/>
              </w:rPr>
              <w:t>2.1</w:t>
            </w:r>
          </w:p>
        </w:tc>
        <w:tc>
          <w:tcPr>
            <w:tcW w:w="5639" w:type="dxa"/>
          </w:tcPr>
          <w:p w14:paraId="20B866A6" w14:textId="032CAEAD" w:rsidR="00D70690" w:rsidRPr="00FE7C74" w:rsidRDefault="00D70690" w:rsidP="00D70690">
            <w:pPr>
              <w:rPr>
                <w:lang w:val="en-GB"/>
              </w:rPr>
            </w:pPr>
            <w:r w:rsidRPr="00FE7C74">
              <w:rPr>
                <w:lang w:val="en-GB"/>
              </w:rPr>
              <w:t>a) Total and b) net change in US$ value of portfolios of UNCDF-supported FSPs disaggregated by product</w:t>
            </w:r>
            <w:r w:rsidR="005B4C33" w:rsidRPr="00FE7C74">
              <w:rPr>
                <w:lang w:val="en-GB"/>
              </w:rPr>
              <w:t xml:space="preserve"> </w:t>
            </w:r>
          </w:p>
        </w:tc>
        <w:tc>
          <w:tcPr>
            <w:tcW w:w="1859" w:type="dxa"/>
          </w:tcPr>
          <w:p w14:paraId="292CB960" w14:textId="000DC059" w:rsidR="0079590F" w:rsidRPr="00FE7C74" w:rsidRDefault="0079590F" w:rsidP="00D70690">
            <w:pPr>
              <w:rPr>
                <w:lang w:val="en-GB"/>
              </w:rPr>
            </w:pPr>
            <w:r w:rsidRPr="00FE7C74">
              <w:rPr>
                <w:lang w:val="en-GB"/>
              </w:rPr>
              <w:t xml:space="preserve">Savings: </w:t>
            </w:r>
          </w:p>
          <w:p w14:paraId="5D46C2F9" w14:textId="5B01B564" w:rsidR="00D70690" w:rsidRPr="00FE7C74" w:rsidRDefault="00536700" w:rsidP="00D70690">
            <w:pPr>
              <w:rPr>
                <w:lang w:val="en-GB"/>
              </w:rPr>
            </w:pPr>
            <w:r w:rsidRPr="00FE7C74">
              <w:rPr>
                <w:lang w:val="en-GB"/>
              </w:rPr>
              <w:t>a)</w:t>
            </w:r>
            <w:r w:rsidR="0079590F" w:rsidRPr="00FE7C74">
              <w:rPr>
                <w:lang w:val="en-GB"/>
              </w:rPr>
              <w:t xml:space="preserve"> </w:t>
            </w:r>
            <w:r w:rsidR="005C139E" w:rsidRPr="00FE7C74">
              <w:rPr>
                <w:lang w:val="en-GB"/>
              </w:rPr>
              <w:t>$</w:t>
            </w:r>
            <w:r w:rsidR="00741CD6" w:rsidRPr="00FE7C74">
              <w:rPr>
                <w:lang w:val="en-GB"/>
              </w:rPr>
              <w:t>473m</w:t>
            </w:r>
            <w:r w:rsidR="001A4EBC" w:rsidRPr="00FE7C74">
              <w:rPr>
                <w:rStyle w:val="FootnoteReference"/>
                <w:color w:val="auto"/>
                <w:lang w:val="en-GB"/>
              </w:rPr>
              <w:footnoteReference w:id="8"/>
            </w:r>
          </w:p>
          <w:p w14:paraId="5ADE715F" w14:textId="4648613F" w:rsidR="00536700" w:rsidRPr="00FE7C74" w:rsidRDefault="00536700" w:rsidP="00D70690">
            <w:pPr>
              <w:rPr>
                <w:lang w:val="en-GB"/>
              </w:rPr>
            </w:pPr>
            <w:r w:rsidRPr="00FE7C74">
              <w:rPr>
                <w:lang w:val="en-GB"/>
              </w:rPr>
              <w:t>b)</w:t>
            </w:r>
            <w:r w:rsidR="0079590F" w:rsidRPr="00FE7C74">
              <w:rPr>
                <w:lang w:val="en-GB"/>
              </w:rPr>
              <w:t xml:space="preserve"> </w:t>
            </w:r>
            <w:r w:rsidR="005C139E" w:rsidRPr="00FE7C74">
              <w:rPr>
                <w:lang w:val="en-GB"/>
              </w:rPr>
              <w:t>$</w:t>
            </w:r>
            <w:r w:rsidR="00741CD6" w:rsidRPr="00FE7C74">
              <w:rPr>
                <w:lang w:val="en-GB"/>
              </w:rPr>
              <w:t>87m</w:t>
            </w:r>
          </w:p>
          <w:p w14:paraId="76879E9E" w14:textId="77777777" w:rsidR="0079590F" w:rsidRPr="00FE7C74" w:rsidRDefault="0079590F" w:rsidP="00D70690">
            <w:pPr>
              <w:rPr>
                <w:lang w:val="en-GB"/>
              </w:rPr>
            </w:pPr>
          </w:p>
          <w:p w14:paraId="7DFC51B6" w14:textId="77777777" w:rsidR="0079590F" w:rsidRPr="00FE7C74" w:rsidRDefault="0079590F" w:rsidP="00D70690">
            <w:pPr>
              <w:rPr>
                <w:lang w:val="en-GB"/>
              </w:rPr>
            </w:pPr>
            <w:r w:rsidRPr="00FE7C74">
              <w:rPr>
                <w:lang w:val="en-GB"/>
              </w:rPr>
              <w:t xml:space="preserve">Loans: </w:t>
            </w:r>
          </w:p>
          <w:p w14:paraId="487DEFB1" w14:textId="4B6C85DA" w:rsidR="0079590F" w:rsidRPr="00FE7C74" w:rsidRDefault="0079590F" w:rsidP="00D70690">
            <w:pPr>
              <w:rPr>
                <w:lang w:val="en-GB"/>
              </w:rPr>
            </w:pPr>
            <w:r w:rsidRPr="00FE7C74">
              <w:rPr>
                <w:lang w:val="en-GB"/>
              </w:rPr>
              <w:t xml:space="preserve">a) </w:t>
            </w:r>
            <w:r w:rsidR="005C139E" w:rsidRPr="00FE7C74">
              <w:rPr>
                <w:lang w:val="en-GB"/>
              </w:rPr>
              <w:t>$</w:t>
            </w:r>
            <w:r w:rsidR="00741CD6" w:rsidRPr="00FE7C74">
              <w:rPr>
                <w:lang w:val="en-GB"/>
              </w:rPr>
              <w:t>689m</w:t>
            </w:r>
          </w:p>
          <w:p w14:paraId="7EB2AE09" w14:textId="28E3C7C0" w:rsidR="0079590F" w:rsidRPr="00FE7C74" w:rsidRDefault="0079590F" w:rsidP="00D70690">
            <w:pPr>
              <w:rPr>
                <w:lang w:val="en-GB"/>
              </w:rPr>
            </w:pPr>
            <w:r w:rsidRPr="00FE7C74">
              <w:rPr>
                <w:lang w:val="en-GB"/>
              </w:rPr>
              <w:t xml:space="preserve">b) </w:t>
            </w:r>
            <w:r w:rsidR="005C139E" w:rsidRPr="00FE7C74">
              <w:rPr>
                <w:lang w:val="en-GB"/>
              </w:rPr>
              <w:t>$</w:t>
            </w:r>
            <w:r w:rsidR="001A4EBC" w:rsidRPr="00FE7C74">
              <w:rPr>
                <w:lang w:val="en-GB"/>
              </w:rPr>
              <w:t>119m</w:t>
            </w:r>
          </w:p>
        </w:tc>
        <w:tc>
          <w:tcPr>
            <w:tcW w:w="1244" w:type="dxa"/>
          </w:tcPr>
          <w:p w14:paraId="483D3A1B" w14:textId="6D6A21EE" w:rsidR="0079590F" w:rsidRDefault="0079590F" w:rsidP="00536700">
            <w:pPr>
              <w:rPr>
                <w:lang w:val="en-GB"/>
              </w:rPr>
            </w:pPr>
            <w:r>
              <w:rPr>
                <w:lang w:val="en-GB"/>
              </w:rPr>
              <w:t xml:space="preserve">Savings: </w:t>
            </w:r>
          </w:p>
          <w:p w14:paraId="27CB7878" w14:textId="37F35505" w:rsidR="00536700" w:rsidRPr="0083254F" w:rsidRDefault="00536700" w:rsidP="00536700">
            <w:pPr>
              <w:rPr>
                <w:lang w:val="en-GB"/>
              </w:rPr>
            </w:pPr>
            <w:r w:rsidRPr="0083254F">
              <w:rPr>
                <w:lang w:val="en-GB"/>
              </w:rPr>
              <w:t>a)</w:t>
            </w:r>
            <w:r w:rsidR="0079590F">
              <w:rPr>
                <w:lang w:val="en-GB"/>
              </w:rPr>
              <w:t xml:space="preserve"> </w:t>
            </w:r>
            <w:r w:rsidR="005C139E">
              <w:rPr>
                <w:lang w:val="en-GB"/>
              </w:rPr>
              <w:t>$</w:t>
            </w:r>
            <w:r w:rsidR="001A4EBC">
              <w:rPr>
                <w:lang w:val="en-GB"/>
              </w:rPr>
              <w:t>560m</w:t>
            </w:r>
          </w:p>
          <w:p w14:paraId="0435ECB6" w14:textId="737E4EE6" w:rsidR="00D70690" w:rsidRDefault="00536700" w:rsidP="00536700">
            <w:pPr>
              <w:rPr>
                <w:lang w:val="en-GB"/>
              </w:rPr>
            </w:pPr>
            <w:r w:rsidRPr="0083254F">
              <w:rPr>
                <w:lang w:val="en-GB"/>
              </w:rPr>
              <w:t>b)</w:t>
            </w:r>
            <w:r w:rsidR="0079590F">
              <w:rPr>
                <w:lang w:val="en-GB"/>
              </w:rPr>
              <w:t xml:space="preserve"> </w:t>
            </w:r>
            <w:r w:rsidR="005C139E">
              <w:rPr>
                <w:lang w:val="en-GB"/>
              </w:rPr>
              <w:t>$</w:t>
            </w:r>
            <w:r w:rsidR="001A4EBC">
              <w:rPr>
                <w:lang w:val="en-GB"/>
              </w:rPr>
              <w:t>87</w:t>
            </w:r>
            <w:r w:rsidR="0079590F">
              <w:rPr>
                <w:lang w:val="en-GB"/>
              </w:rPr>
              <w:t>m</w:t>
            </w:r>
          </w:p>
          <w:p w14:paraId="68536C97" w14:textId="77777777" w:rsidR="0079590F" w:rsidRDefault="0079590F" w:rsidP="00536700">
            <w:pPr>
              <w:rPr>
                <w:lang w:val="en-GB"/>
              </w:rPr>
            </w:pPr>
          </w:p>
          <w:p w14:paraId="43AFD516" w14:textId="77777777" w:rsidR="0079590F" w:rsidRDefault="0079590F" w:rsidP="00536700">
            <w:pPr>
              <w:rPr>
                <w:lang w:val="en-GB"/>
              </w:rPr>
            </w:pPr>
            <w:r>
              <w:rPr>
                <w:lang w:val="en-GB"/>
              </w:rPr>
              <w:t xml:space="preserve">Loans: </w:t>
            </w:r>
          </w:p>
          <w:p w14:paraId="65C05350" w14:textId="69E738DD" w:rsidR="0079590F" w:rsidRDefault="0079590F" w:rsidP="00536700">
            <w:pPr>
              <w:rPr>
                <w:lang w:val="en-GB"/>
              </w:rPr>
            </w:pPr>
            <w:r>
              <w:rPr>
                <w:lang w:val="en-GB"/>
              </w:rPr>
              <w:t xml:space="preserve">a) </w:t>
            </w:r>
            <w:r w:rsidR="005C139E">
              <w:rPr>
                <w:lang w:val="en-GB"/>
              </w:rPr>
              <w:t>$</w:t>
            </w:r>
            <w:r w:rsidR="001A4EBC">
              <w:rPr>
                <w:lang w:val="en-GB"/>
              </w:rPr>
              <w:t>789m</w:t>
            </w:r>
          </w:p>
          <w:p w14:paraId="43D96E55" w14:textId="2D7991A0" w:rsidR="0079590F" w:rsidRPr="0083254F" w:rsidRDefault="0079590F" w:rsidP="00536700">
            <w:pPr>
              <w:rPr>
                <w:lang w:val="en-GB"/>
              </w:rPr>
            </w:pPr>
            <w:r>
              <w:rPr>
                <w:lang w:val="en-GB"/>
              </w:rPr>
              <w:t xml:space="preserve">b) </w:t>
            </w:r>
            <w:r w:rsidR="005C139E">
              <w:rPr>
                <w:lang w:val="en-GB"/>
              </w:rPr>
              <w:t>$</w:t>
            </w:r>
            <w:r w:rsidR="001A4EBC">
              <w:rPr>
                <w:lang w:val="en-GB"/>
              </w:rPr>
              <w:t>109m</w:t>
            </w:r>
          </w:p>
        </w:tc>
        <w:tc>
          <w:tcPr>
            <w:tcW w:w="1244" w:type="dxa"/>
          </w:tcPr>
          <w:p w14:paraId="78D3660D" w14:textId="77777777" w:rsidR="003163B4" w:rsidRDefault="003163B4" w:rsidP="003163B4">
            <w:pPr>
              <w:rPr>
                <w:lang w:val="en-GB"/>
              </w:rPr>
            </w:pPr>
            <w:r>
              <w:rPr>
                <w:lang w:val="en-GB"/>
              </w:rPr>
              <w:t xml:space="preserve">Savings: </w:t>
            </w:r>
          </w:p>
          <w:p w14:paraId="60FF086B" w14:textId="30B89CEE" w:rsidR="003163B4" w:rsidRPr="0083254F" w:rsidRDefault="003163B4" w:rsidP="003163B4">
            <w:pPr>
              <w:rPr>
                <w:lang w:val="en-GB"/>
              </w:rPr>
            </w:pPr>
            <w:r w:rsidRPr="0083254F">
              <w:rPr>
                <w:lang w:val="en-GB"/>
              </w:rPr>
              <w:t>a)</w:t>
            </w:r>
            <w:r>
              <w:rPr>
                <w:lang w:val="en-GB"/>
              </w:rPr>
              <w:t xml:space="preserve"> </w:t>
            </w:r>
            <w:r w:rsidR="005C139E">
              <w:rPr>
                <w:lang w:val="en-GB"/>
              </w:rPr>
              <w:t>$</w:t>
            </w:r>
            <w:r w:rsidR="001A4EBC">
              <w:rPr>
                <w:lang w:val="en-GB"/>
              </w:rPr>
              <w:t>650m</w:t>
            </w:r>
          </w:p>
          <w:p w14:paraId="32F2C8EA" w14:textId="0898461E" w:rsidR="003163B4" w:rsidRDefault="003163B4" w:rsidP="003163B4">
            <w:pPr>
              <w:rPr>
                <w:lang w:val="en-GB"/>
              </w:rPr>
            </w:pPr>
            <w:r w:rsidRPr="0083254F">
              <w:rPr>
                <w:lang w:val="en-GB"/>
              </w:rPr>
              <w:t>b)</w:t>
            </w:r>
            <w:r>
              <w:rPr>
                <w:lang w:val="en-GB"/>
              </w:rPr>
              <w:t xml:space="preserve"> </w:t>
            </w:r>
            <w:r w:rsidR="005C139E">
              <w:rPr>
                <w:lang w:val="en-GB"/>
              </w:rPr>
              <w:t>$</w:t>
            </w:r>
            <w:r w:rsidR="001A4EBC">
              <w:rPr>
                <w:lang w:val="en-GB"/>
              </w:rPr>
              <w:t>90</w:t>
            </w:r>
            <w:r>
              <w:rPr>
                <w:lang w:val="en-GB"/>
              </w:rPr>
              <w:t>m</w:t>
            </w:r>
          </w:p>
          <w:p w14:paraId="27127CE5" w14:textId="77777777" w:rsidR="003163B4" w:rsidRDefault="003163B4" w:rsidP="003163B4">
            <w:pPr>
              <w:rPr>
                <w:lang w:val="en-GB"/>
              </w:rPr>
            </w:pPr>
          </w:p>
          <w:p w14:paraId="0B4E2666" w14:textId="77777777" w:rsidR="003163B4" w:rsidRDefault="003163B4" w:rsidP="003163B4">
            <w:pPr>
              <w:rPr>
                <w:lang w:val="en-GB"/>
              </w:rPr>
            </w:pPr>
            <w:r>
              <w:rPr>
                <w:lang w:val="en-GB"/>
              </w:rPr>
              <w:t xml:space="preserve">Loans: </w:t>
            </w:r>
          </w:p>
          <w:p w14:paraId="5023DC4A" w14:textId="14996667" w:rsidR="003163B4" w:rsidRDefault="003163B4" w:rsidP="003163B4">
            <w:pPr>
              <w:rPr>
                <w:lang w:val="en-GB"/>
              </w:rPr>
            </w:pPr>
            <w:r>
              <w:rPr>
                <w:lang w:val="en-GB"/>
              </w:rPr>
              <w:t xml:space="preserve">a) </w:t>
            </w:r>
            <w:r w:rsidR="005C139E">
              <w:rPr>
                <w:lang w:val="en-GB"/>
              </w:rPr>
              <w:t>$</w:t>
            </w:r>
            <w:r w:rsidR="001A4EBC">
              <w:rPr>
                <w:lang w:val="en-GB"/>
              </w:rPr>
              <w:t>910m</w:t>
            </w:r>
          </w:p>
          <w:p w14:paraId="1D7462B7" w14:textId="780B4507" w:rsidR="00D70690" w:rsidRPr="0083254F" w:rsidRDefault="003163B4" w:rsidP="00536700">
            <w:pPr>
              <w:rPr>
                <w:lang w:val="en-GB"/>
              </w:rPr>
            </w:pPr>
            <w:r>
              <w:rPr>
                <w:lang w:val="en-GB"/>
              </w:rPr>
              <w:t xml:space="preserve">b) </w:t>
            </w:r>
            <w:r w:rsidR="005C139E">
              <w:rPr>
                <w:lang w:val="en-GB"/>
              </w:rPr>
              <w:t>$</w:t>
            </w:r>
            <w:r w:rsidR="001A4EBC">
              <w:rPr>
                <w:lang w:val="en-GB"/>
              </w:rPr>
              <w:t>112m</w:t>
            </w:r>
          </w:p>
        </w:tc>
        <w:tc>
          <w:tcPr>
            <w:tcW w:w="1244" w:type="dxa"/>
          </w:tcPr>
          <w:p w14:paraId="34B20E3C" w14:textId="77777777" w:rsidR="003163B4" w:rsidRDefault="003163B4" w:rsidP="003163B4">
            <w:pPr>
              <w:rPr>
                <w:lang w:val="en-GB"/>
              </w:rPr>
            </w:pPr>
            <w:r>
              <w:rPr>
                <w:lang w:val="en-GB"/>
              </w:rPr>
              <w:t xml:space="preserve">Savings: </w:t>
            </w:r>
          </w:p>
          <w:p w14:paraId="2DD8DFB3" w14:textId="368D8D10" w:rsidR="003163B4" w:rsidRPr="0083254F" w:rsidRDefault="003163B4" w:rsidP="003163B4">
            <w:pPr>
              <w:rPr>
                <w:lang w:val="en-GB"/>
              </w:rPr>
            </w:pPr>
            <w:r w:rsidRPr="0083254F">
              <w:rPr>
                <w:lang w:val="en-GB"/>
              </w:rPr>
              <w:t>a)</w:t>
            </w:r>
            <w:r>
              <w:rPr>
                <w:lang w:val="en-GB"/>
              </w:rPr>
              <w:t xml:space="preserve"> </w:t>
            </w:r>
            <w:r w:rsidR="005C139E">
              <w:rPr>
                <w:lang w:val="en-GB"/>
              </w:rPr>
              <w:t>$</w:t>
            </w:r>
            <w:r w:rsidR="001A4EBC">
              <w:rPr>
                <w:lang w:val="en-GB"/>
              </w:rPr>
              <w:t>740m</w:t>
            </w:r>
          </w:p>
          <w:p w14:paraId="740AAFF0" w14:textId="190BA0E5" w:rsidR="003163B4" w:rsidRDefault="003163B4" w:rsidP="003163B4">
            <w:pPr>
              <w:rPr>
                <w:lang w:val="en-GB"/>
              </w:rPr>
            </w:pPr>
            <w:r w:rsidRPr="0083254F">
              <w:rPr>
                <w:lang w:val="en-GB"/>
              </w:rPr>
              <w:t>b)</w:t>
            </w:r>
            <w:r>
              <w:rPr>
                <w:lang w:val="en-GB"/>
              </w:rPr>
              <w:t xml:space="preserve"> </w:t>
            </w:r>
            <w:r w:rsidR="005C139E">
              <w:rPr>
                <w:lang w:val="en-GB"/>
              </w:rPr>
              <w:t>$</w:t>
            </w:r>
            <w:r w:rsidR="001A4EBC">
              <w:rPr>
                <w:lang w:val="en-GB"/>
              </w:rPr>
              <w:t>90</w:t>
            </w:r>
            <w:r>
              <w:rPr>
                <w:lang w:val="en-GB"/>
              </w:rPr>
              <w:t>m</w:t>
            </w:r>
          </w:p>
          <w:p w14:paraId="590C8931" w14:textId="77777777" w:rsidR="003163B4" w:rsidRDefault="003163B4" w:rsidP="003163B4">
            <w:pPr>
              <w:rPr>
                <w:lang w:val="en-GB"/>
              </w:rPr>
            </w:pPr>
          </w:p>
          <w:p w14:paraId="50F7F225" w14:textId="77777777" w:rsidR="003163B4" w:rsidRDefault="003163B4" w:rsidP="003163B4">
            <w:pPr>
              <w:rPr>
                <w:lang w:val="en-GB"/>
              </w:rPr>
            </w:pPr>
            <w:r>
              <w:rPr>
                <w:lang w:val="en-GB"/>
              </w:rPr>
              <w:t xml:space="preserve">Loans: </w:t>
            </w:r>
          </w:p>
          <w:p w14:paraId="53114B02" w14:textId="01745B15" w:rsidR="003163B4" w:rsidRDefault="003163B4" w:rsidP="003163B4">
            <w:pPr>
              <w:rPr>
                <w:lang w:val="en-GB"/>
              </w:rPr>
            </w:pPr>
            <w:r>
              <w:rPr>
                <w:lang w:val="en-GB"/>
              </w:rPr>
              <w:t xml:space="preserve">a) </w:t>
            </w:r>
            <w:r w:rsidR="005C139E">
              <w:rPr>
                <w:lang w:val="en-GB"/>
              </w:rPr>
              <w:t>$</w:t>
            </w:r>
            <w:r w:rsidR="001A4EBC">
              <w:rPr>
                <w:lang w:val="en-GB"/>
              </w:rPr>
              <w:t>1b</w:t>
            </w:r>
          </w:p>
          <w:p w14:paraId="1CC867C0" w14:textId="10B5429B" w:rsidR="00D70690" w:rsidRPr="0083254F" w:rsidRDefault="003163B4" w:rsidP="00536700">
            <w:pPr>
              <w:rPr>
                <w:lang w:val="en-GB"/>
              </w:rPr>
            </w:pPr>
            <w:r>
              <w:rPr>
                <w:lang w:val="en-GB"/>
              </w:rPr>
              <w:t xml:space="preserve">b) </w:t>
            </w:r>
            <w:r w:rsidR="005C139E">
              <w:rPr>
                <w:lang w:val="en-GB"/>
              </w:rPr>
              <w:t>$</w:t>
            </w:r>
            <w:r w:rsidR="001A4EBC">
              <w:rPr>
                <w:lang w:val="en-GB"/>
              </w:rPr>
              <w:t>114m</w:t>
            </w:r>
          </w:p>
        </w:tc>
        <w:tc>
          <w:tcPr>
            <w:tcW w:w="1244" w:type="dxa"/>
          </w:tcPr>
          <w:p w14:paraId="34AEC6AB" w14:textId="77777777" w:rsidR="003163B4" w:rsidRDefault="003163B4" w:rsidP="003163B4">
            <w:pPr>
              <w:rPr>
                <w:lang w:val="en-GB"/>
              </w:rPr>
            </w:pPr>
            <w:r>
              <w:rPr>
                <w:lang w:val="en-GB"/>
              </w:rPr>
              <w:t xml:space="preserve">Savings: </w:t>
            </w:r>
          </w:p>
          <w:p w14:paraId="30084C3D" w14:textId="2E1300EC" w:rsidR="003163B4" w:rsidRPr="0083254F" w:rsidRDefault="003163B4" w:rsidP="003163B4">
            <w:pPr>
              <w:rPr>
                <w:lang w:val="en-GB"/>
              </w:rPr>
            </w:pPr>
            <w:r w:rsidRPr="0083254F">
              <w:rPr>
                <w:lang w:val="en-GB"/>
              </w:rPr>
              <w:t>a)</w:t>
            </w:r>
            <w:r>
              <w:rPr>
                <w:lang w:val="en-GB"/>
              </w:rPr>
              <w:t xml:space="preserve"> </w:t>
            </w:r>
            <w:r w:rsidR="005C139E">
              <w:rPr>
                <w:lang w:val="en-GB"/>
              </w:rPr>
              <w:t>$</w:t>
            </w:r>
            <w:r w:rsidR="001A4EBC">
              <w:rPr>
                <w:lang w:val="en-GB"/>
              </w:rPr>
              <w:t>835m</w:t>
            </w:r>
          </w:p>
          <w:p w14:paraId="496189E4" w14:textId="11EB93FF" w:rsidR="003163B4" w:rsidRDefault="003163B4" w:rsidP="003163B4">
            <w:pPr>
              <w:rPr>
                <w:lang w:val="en-GB"/>
              </w:rPr>
            </w:pPr>
            <w:r w:rsidRPr="0083254F">
              <w:rPr>
                <w:lang w:val="en-GB"/>
              </w:rPr>
              <w:t>b)</w:t>
            </w:r>
            <w:r>
              <w:rPr>
                <w:lang w:val="en-GB"/>
              </w:rPr>
              <w:t xml:space="preserve"> </w:t>
            </w:r>
            <w:r w:rsidR="005C139E">
              <w:rPr>
                <w:lang w:val="en-GB"/>
              </w:rPr>
              <w:t>$</w:t>
            </w:r>
            <w:r w:rsidR="001A4EBC">
              <w:rPr>
                <w:lang w:val="en-GB"/>
              </w:rPr>
              <w:t>95</w:t>
            </w:r>
            <w:r>
              <w:rPr>
                <w:lang w:val="en-GB"/>
              </w:rPr>
              <w:t>m</w:t>
            </w:r>
          </w:p>
          <w:p w14:paraId="3DF3BF7A" w14:textId="77777777" w:rsidR="003163B4" w:rsidRDefault="003163B4" w:rsidP="003163B4">
            <w:pPr>
              <w:rPr>
                <w:lang w:val="en-GB"/>
              </w:rPr>
            </w:pPr>
          </w:p>
          <w:p w14:paraId="4B058862" w14:textId="77777777" w:rsidR="003163B4" w:rsidRDefault="003163B4" w:rsidP="003163B4">
            <w:pPr>
              <w:rPr>
                <w:lang w:val="en-GB"/>
              </w:rPr>
            </w:pPr>
            <w:r>
              <w:rPr>
                <w:lang w:val="en-GB"/>
              </w:rPr>
              <w:t xml:space="preserve">Loans: </w:t>
            </w:r>
          </w:p>
          <w:p w14:paraId="2E4DE202" w14:textId="44BAC123" w:rsidR="003163B4" w:rsidRDefault="003163B4" w:rsidP="003163B4">
            <w:pPr>
              <w:rPr>
                <w:lang w:val="en-GB"/>
              </w:rPr>
            </w:pPr>
            <w:r>
              <w:rPr>
                <w:lang w:val="en-GB"/>
              </w:rPr>
              <w:t xml:space="preserve">a) </w:t>
            </w:r>
            <w:r w:rsidR="005C139E">
              <w:rPr>
                <w:lang w:val="en-GB"/>
              </w:rPr>
              <w:t>$</w:t>
            </w:r>
            <w:r w:rsidR="001A4EBC">
              <w:rPr>
                <w:lang w:val="en-GB"/>
              </w:rPr>
              <w:t>1.1b</w:t>
            </w:r>
          </w:p>
          <w:p w14:paraId="089CE9F1" w14:textId="7CF1DED9" w:rsidR="00D70690" w:rsidRPr="0083254F" w:rsidRDefault="003163B4" w:rsidP="00536700">
            <w:pPr>
              <w:rPr>
                <w:lang w:val="en-GB"/>
              </w:rPr>
            </w:pPr>
            <w:r>
              <w:rPr>
                <w:lang w:val="en-GB"/>
              </w:rPr>
              <w:t xml:space="preserve">b) </w:t>
            </w:r>
            <w:r w:rsidR="005C139E">
              <w:rPr>
                <w:lang w:val="en-GB"/>
              </w:rPr>
              <w:t>$</w:t>
            </w:r>
            <w:r w:rsidR="001A4EBC">
              <w:rPr>
                <w:lang w:val="en-GB"/>
              </w:rPr>
              <w:t>119m</w:t>
            </w:r>
          </w:p>
        </w:tc>
      </w:tr>
      <w:tr w:rsidR="00D70690" w:rsidRPr="0083254F" w14:paraId="50821AE3" w14:textId="77777777" w:rsidTr="00B56D94">
        <w:tc>
          <w:tcPr>
            <w:tcW w:w="476" w:type="dxa"/>
            <w:vMerge/>
          </w:tcPr>
          <w:p w14:paraId="2F1004CF" w14:textId="77777777" w:rsidR="00D70690" w:rsidRPr="0083254F" w:rsidRDefault="00D70690" w:rsidP="00D70690">
            <w:pPr>
              <w:rPr>
                <w:lang w:val="en-GB"/>
              </w:rPr>
            </w:pPr>
          </w:p>
        </w:tc>
        <w:tc>
          <w:tcPr>
            <w:tcW w:w="12474" w:type="dxa"/>
            <w:gridSpan w:val="6"/>
            <w:shd w:val="clear" w:color="auto" w:fill="D0CECE" w:themeFill="background2" w:themeFillShade="E6"/>
          </w:tcPr>
          <w:p w14:paraId="14954195" w14:textId="77777777" w:rsidR="00D70690" w:rsidRPr="0083254F" w:rsidRDefault="00D70690" w:rsidP="00D70690">
            <w:pPr>
              <w:rPr>
                <w:lang w:val="en-GB"/>
              </w:rPr>
            </w:pPr>
            <w:r w:rsidRPr="0083254F">
              <w:rPr>
                <w:b/>
                <w:lang w:val="en-GB"/>
              </w:rPr>
              <w:t xml:space="preserve">Corresponding SDG target: </w:t>
            </w:r>
            <w:r w:rsidRPr="0083254F">
              <w:rPr>
                <w:b/>
                <w:u w:val="single"/>
                <w:lang w:val="en-GB"/>
              </w:rPr>
              <w:t>1.4</w:t>
            </w:r>
            <w:r w:rsidR="00536700" w:rsidRPr="0083254F">
              <w:rPr>
                <w:lang w:val="en-GB"/>
              </w:rPr>
              <w:t xml:space="preserve"> and</w:t>
            </w:r>
            <w:r w:rsidRPr="0083254F">
              <w:rPr>
                <w:lang w:val="en-GB"/>
              </w:rPr>
              <w:t xml:space="preserve"> </w:t>
            </w:r>
            <w:r w:rsidRPr="0083254F">
              <w:rPr>
                <w:b/>
                <w:u w:val="single"/>
                <w:lang w:val="en-GB"/>
              </w:rPr>
              <w:t>8.10</w:t>
            </w:r>
          </w:p>
          <w:p w14:paraId="3D01B670" w14:textId="77777777" w:rsidR="00D70690" w:rsidRPr="0083254F" w:rsidRDefault="00D70690" w:rsidP="00D70690">
            <w:pPr>
              <w:rPr>
                <w:lang w:val="en-GB"/>
              </w:rPr>
            </w:pPr>
            <w:r w:rsidRPr="0083254F">
              <w:rPr>
                <w:b/>
                <w:lang w:val="en-GB"/>
              </w:rPr>
              <w:t>Related UNCDF IRRM 2014-2017 indicator:</w:t>
            </w:r>
            <w:r w:rsidRPr="0083254F">
              <w:rPr>
                <w:lang w:val="en-GB"/>
              </w:rPr>
              <w:t xml:space="preserve"> Amended from </w:t>
            </w:r>
            <w:r w:rsidR="00536700" w:rsidRPr="0083254F">
              <w:rPr>
                <w:lang w:val="en-GB"/>
              </w:rPr>
              <w:t>Outcome indicators 1.b and 1.c</w:t>
            </w:r>
          </w:p>
          <w:p w14:paraId="05C0C134" w14:textId="77777777" w:rsidR="00D70690" w:rsidRPr="0083254F" w:rsidRDefault="00D70690" w:rsidP="00D70690">
            <w:pPr>
              <w:rPr>
                <w:lang w:val="en-GB"/>
              </w:rPr>
            </w:pPr>
            <w:r w:rsidRPr="0083254F">
              <w:rPr>
                <w:b/>
                <w:lang w:val="en-GB"/>
              </w:rPr>
              <w:t xml:space="preserve">Data source: </w:t>
            </w:r>
            <w:r w:rsidRPr="0083254F">
              <w:rPr>
                <w:lang w:val="en-GB"/>
              </w:rPr>
              <w:t xml:space="preserve">FSPs survey; </w:t>
            </w:r>
            <w:r w:rsidR="00536700" w:rsidRPr="0083254F">
              <w:rPr>
                <w:lang w:val="en-GB"/>
              </w:rPr>
              <w:t xml:space="preserve">MIX Markets database; </w:t>
            </w:r>
            <w:r w:rsidRPr="0083254F">
              <w:rPr>
                <w:lang w:val="en-GB"/>
              </w:rPr>
              <w:t>Project reports</w:t>
            </w:r>
          </w:p>
          <w:p w14:paraId="4EC0AB8D" w14:textId="65FF2C4E" w:rsidR="00D70690" w:rsidRPr="0083254F" w:rsidRDefault="00D70690" w:rsidP="00D70690">
            <w:pPr>
              <w:rPr>
                <w:lang w:val="en-GB"/>
              </w:rPr>
            </w:pPr>
            <w:r w:rsidRPr="0083254F">
              <w:rPr>
                <w:b/>
                <w:lang w:val="en-GB"/>
              </w:rPr>
              <w:t>Approach to the indicator</w:t>
            </w:r>
            <w:r w:rsidR="00A27CD2">
              <w:rPr>
                <w:b/>
                <w:lang w:val="en-GB"/>
              </w:rPr>
              <w:t xml:space="preserve"> (incremental)</w:t>
            </w:r>
            <w:r w:rsidRPr="0083254F">
              <w:rPr>
                <w:b/>
                <w:lang w:val="en-GB"/>
              </w:rPr>
              <w:t xml:space="preserve">: </w:t>
            </w:r>
            <w:r w:rsidR="00A27CD2">
              <w:rPr>
                <w:lang w:val="en-GB"/>
              </w:rPr>
              <w:t xml:space="preserve">The indicator could be further disaggregated to include remittances and other products, when introduced. </w:t>
            </w:r>
          </w:p>
        </w:tc>
      </w:tr>
      <w:tr w:rsidR="00D70690" w:rsidRPr="0083254F" w14:paraId="680128AB" w14:textId="77777777" w:rsidTr="00B56D94">
        <w:tc>
          <w:tcPr>
            <w:tcW w:w="476" w:type="dxa"/>
            <w:vMerge w:val="restart"/>
          </w:tcPr>
          <w:p w14:paraId="2A4E4810" w14:textId="77777777" w:rsidR="00D70690" w:rsidRPr="0083254F" w:rsidRDefault="00536700" w:rsidP="00D70690">
            <w:pPr>
              <w:rPr>
                <w:lang w:val="en-GB"/>
              </w:rPr>
            </w:pPr>
            <w:r w:rsidRPr="0083254F">
              <w:rPr>
                <w:lang w:val="en-GB"/>
              </w:rPr>
              <w:t>2</w:t>
            </w:r>
            <w:r w:rsidR="00D70690" w:rsidRPr="0083254F">
              <w:rPr>
                <w:lang w:val="en-GB"/>
              </w:rPr>
              <w:t>.2</w:t>
            </w:r>
          </w:p>
        </w:tc>
        <w:tc>
          <w:tcPr>
            <w:tcW w:w="5639" w:type="dxa"/>
          </w:tcPr>
          <w:p w14:paraId="0DBFB382" w14:textId="3E455D52" w:rsidR="00A27CD2" w:rsidRDefault="001A4EBC" w:rsidP="00D70690">
            <w:pPr>
              <w:tabs>
                <w:tab w:val="left" w:pos="2278"/>
              </w:tabs>
              <w:rPr>
                <w:lang w:val="en-GB"/>
              </w:rPr>
            </w:pPr>
            <w:r>
              <w:rPr>
                <w:lang w:val="en-GB"/>
              </w:rPr>
              <w:t xml:space="preserve">Percentage </w:t>
            </w:r>
            <w:r w:rsidR="00FA5E9F">
              <w:rPr>
                <w:lang w:val="en-GB"/>
              </w:rPr>
              <w:t xml:space="preserve">of </w:t>
            </w:r>
            <w:r>
              <w:rPr>
                <w:lang w:val="en-GB"/>
              </w:rPr>
              <w:t>UNCDF-supported local</w:t>
            </w:r>
            <w:r w:rsidRPr="00946300">
              <w:rPr>
                <w:lang w:val="en-GB"/>
              </w:rPr>
              <w:t xml:space="preserve"> </w:t>
            </w:r>
            <w:r w:rsidR="00FA5E9F" w:rsidRPr="00946300">
              <w:rPr>
                <w:lang w:val="en-GB"/>
              </w:rPr>
              <w:t xml:space="preserve">governments increasing </w:t>
            </w:r>
            <w:r w:rsidR="00EF3A2C">
              <w:rPr>
                <w:lang w:val="en-GB"/>
              </w:rPr>
              <w:t xml:space="preserve">percentage of </w:t>
            </w:r>
            <w:r w:rsidR="001F65A8">
              <w:rPr>
                <w:lang w:val="en-GB"/>
              </w:rPr>
              <w:t xml:space="preserve">own resource mobilization </w:t>
            </w:r>
          </w:p>
          <w:p w14:paraId="182F603D" w14:textId="67B0F7D6" w:rsidR="00D70690" w:rsidRPr="0083254F" w:rsidRDefault="00D70690" w:rsidP="00D70690">
            <w:pPr>
              <w:tabs>
                <w:tab w:val="left" w:pos="2278"/>
              </w:tabs>
              <w:rPr>
                <w:lang w:val="en-GB"/>
              </w:rPr>
            </w:pPr>
          </w:p>
        </w:tc>
        <w:tc>
          <w:tcPr>
            <w:tcW w:w="1859" w:type="dxa"/>
          </w:tcPr>
          <w:p w14:paraId="6C8BB024" w14:textId="10FBA50E" w:rsidR="00D70690" w:rsidRPr="0083254F" w:rsidRDefault="00016E21" w:rsidP="00D70690">
            <w:pPr>
              <w:rPr>
                <w:lang w:val="en-GB"/>
              </w:rPr>
            </w:pPr>
            <w:r>
              <w:rPr>
                <w:lang w:val="en-GB"/>
              </w:rPr>
              <w:t>58% (of sampled local governments)</w:t>
            </w:r>
          </w:p>
        </w:tc>
        <w:tc>
          <w:tcPr>
            <w:tcW w:w="1244" w:type="dxa"/>
          </w:tcPr>
          <w:p w14:paraId="45F146D2" w14:textId="363F5BB0" w:rsidR="00D70690" w:rsidRPr="0083254F" w:rsidRDefault="005C139E" w:rsidP="00D70690">
            <w:pPr>
              <w:rPr>
                <w:lang w:val="en-GB"/>
              </w:rPr>
            </w:pPr>
            <w:r>
              <w:rPr>
                <w:lang w:val="en-GB"/>
              </w:rPr>
              <w:t>NA</w:t>
            </w:r>
          </w:p>
        </w:tc>
        <w:tc>
          <w:tcPr>
            <w:tcW w:w="1244" w:type="dxa"/>
          </w:tcPr>
          <w:p w14:paraId="5436B5F0" w14:textId="664D3AC3" w:rsidR="00D70690" w:rsidRPr="0083254F" w:rsidRDefault="00A27CD2" w:rsidP="00D70690">
            <w:pPr>
              <w:rPr>
                <w:lang w:val="en-GB"/>
              </w:rPr>
            </w:pPr>
            <w:r>
              <w:rPr>
                <w:lang w:val="en-GB"/>
              </w:rPr>
              <w:t>60% of sample</w:t>
            </w:r>
          </w:p>
        </w:tc>
        <w:tc>
          <w:tcPr>
            <w:tcW w:w="1244" w:type="dxa"/>
          </w:tcPr>
          <w:p w14:paraId="51EE953F" w14:textId="20495E4A" w:rsidR="00D70690" w:rsidRPr="0083254F" w:rsidRDefault="005C139E" w:rsidP="00D70690">
            <w:pPr>
              <w:rPr>
                <w:lang w:val="en-GB"/>
              </w:rPr>
            </w:pPr>
            <w:r>
              <w:rPr>
                <w:lang w:val="en-GB"/>
              </w:rPr>
              <w:t>NA</w:t>
            </w:r>
          </w:p>
        </w:tc>
        <w:tc>
          <w:tcPr>
            <w:tcW w:w="1244" w:type="dxa"/>
          </w:tcPr>
          <w:p w14:paraId="48E082A7" w14:textId="04BA2797" w:rsidR="00D70690" w:rsidRPr="0083254F" w:rsidRDefault="00A27CD2" w:rsidP="00D70690">
            <w:pPr>
              <w:rPr>
                <w:lang w:val="en-GB"/>
              </w:rPr>
            </w:pPr>
            <w:r>
              <w:rPr>
                <w:lang w:val="en-GB"/>
              </w:rPr>
              <w:t>65% of sample</w:t>
            </w:r>
          </w:p>
        </w:tc>
      </w:tr>
      <w:tr w:rsidR="00D70690" w:rsidRPr="0083254F" w14:paraId="75541C21" w14:textId="77777777" w:rsidTr="00B56D94">
        <w:trPr>
          <w:trHeight w:val="962"/>
        </w:trPr>
        <w:tc>
          <w:tcPr>
            <w:tcW w:w="476" w:type="dxa"/>
            <w:vMerge/>
          </w:tcPr>
          <w:p w14:paraId="0F820676" w14:textId="77777777" w:rsidR="00D70690" w:rsidRPr="0083254F" w:rsidRDefault="00D70690" w:rsidP="00D70690">
            <w:pPr>
              <w:rPr>
                <w:lang w:val="en-GB"/>
              </w:rPr>
            </w:pPr>
          </w:p>
        </w:tc>
        <w:tc>
          <w:tcPr>
            <w:tcW w:w="12474" w:type="dxa"/>
            <w:gridSpan w:val="6"/>
            <w:shd w:val="clear" w:color="auto" w:fill="D0CECE" w:themeFill="background2" w:themeFillShade="E6"/>
          </w:tcPr>
          <w:p w14:paraId="0A3E8448" w14:textId="77777777" w:rsidR="00D70690" w:rsidRPr="0083254F" w:rsidRDefault="00D70690" w:rsidP="00D70690">
            <w:pPr>
              <w:rPr>
                <w:lang w:val="en-GB"/>
              </w:rPr>
            </w:pPr>
            <w:r w:rsidRPr="0083254F">
              <w:rPr>
                <w:b/>
                <w:lang w:val="en-GB"/>
              </w:rPr>
              <w:t xml:space="preserve">Corresponding SDG target: </w:t>
            </w:r>
            <w:r w:rsidRPr="0083254F">
              <w:rPr>
                <w:b/>
                <w:u w:val="single"/>
                <w:lang w:val="en-GB"/>
              </w:rPr>
              <w:t>1</w:t>
            </w:r>
            <w:r w:rsidR="00536700" w:rsidRPr="0083254F">
              <w:rPr>
                <w:b/>
                <w:u w:val="single"/>
                <w:lang w:val="en-GB"/>
              </w:rPr>
              <w:t>1.3</w:t>
            </w:r>
            <w:r w:rsidRPr="0083254F">
              <w:rPr>
                <w:lang w:val="en-GB"/>
              </w:rPr>
              <w:t xml:space="preserve"> and</w:t>
            </w:r>
            <w:r w:rsidRPr="0083254F">
              <w:rPr>
                <w:b/>
                <w:lang w:val="en-GB"/>
              </w:rPr>
              <w:t xml:space="preserve"> </w:t>
            </w:r>
            <w:r w:rsidR="00536700" w:rsidRPr="0083254F">
              <w:rPr>
                <w:b/>
                <w:u w:val="single"/>
                <w:lang w:val="en-GB"/>
              </w:rPr>
              <w:t>17.1</w:t>
            </w:r>
            <w:r w:rsidRPr="0083254F">
              <w:rPr>
                <w:lang w:val="en-GB"/>
              </w:rPr>
              <w:t xml:space="preserve"> </w:t>
            </w:r>
          </w:p>
          <w:p w14:paraId="1B658677" w14:textId="77777777" w:rsidR="00D70690" w:rsidRPr="0083254F" w:rsidRDefault="00D70690" w:rsidP="00D70690">
            <w:pPr>
              <w:rPr>
                <w:lang w:val="en-GB"/>
              </w:rPr>
            </w:pPr>
            <w:r w:rsidRPr="0083254F">
              <w:rPr>
                <w:b/>
                <w:lang w:val="en-GB"/>
              </w:rPr>
              <w:t>Related UNCDF IRRM 2014-2017 indicator:</w:t>
            </w:r>
            <w:r w:rsidRPr="0083254F">
              <w:rPr>
                <w:lang w:val="en-GB"/>
              </w:rPr>
              <w:t xml:space="preserve"> </w:t>
            </w:r>
            <w:r w:rsidR="00536700" w:rsidRPr="0083254F">
              <w:rPr>
                <w:lang w:val="en-GB"/>
              </w:rPr>
              <w:t>New</w:t>
            </w:r>
          </w:p>
          <w:p w14:paraId="20E44193" w14:textId="77777777" w:rsidR="00D70690" w:rsidRPr="0083254F" w:rsidRDefault="00D70690" w:rsidP="00D70690">
            <w:pPr>
              <w:rPr>
                <w:lang w:val="en-GB"/>
              </w:rPr>
            </w:pPr>
            <w:r w:rsidRPr="0083254F">
              <w:rPr>
                <w:b/>
                <w:lang w:val="en-GB"/>
              </w:rPr>
              <w:t xml:space="preserve">Data source: </w:t>
            </w:r>
            <w:r w:rsidRPr="0083254F">
              <w:rPr>
                <w:lang w:val="en-GB"/>
              </w:rPr>
              <w:t>Project reports</w:t>
            </w:r>
          </w:p>
          <w:p w14:paraId="6FB45CAC" w14:textId="7EE665A1" w:rsidR="00D70690" w:rsidRPr="0083254F" w:rsidRDefault="00D70690" w:rsidP="00D70690">
            <w:pPr>
              <w:rPr>
                <w:lang w:val="en-GB"/>
              </w:rPr>
            </w:pPr>
            <w:r w:rsidRPr="0083254F">
              <w:rPr>
                <w:b/>
                <w:lang w:val="en-GB"/>
              </w:rPr>
              <w:t>Approach to the indicator</w:t>
            </w:r>
            <w:r w:rsidR="004A3BD8">
              <w:rPr>
                <w:b/>
                <w:lang w:val="en-GB"/>
              </w:rPr>
              <w:t xml:space="preserve"> (cumulative)</w:t>
            </w:r>
            <w:r w:rsidRPr="0083254F">
              <w:rPr>
                <w:b/>
                <w:lang w:val="en-GB"/>
              </w:rPr>
              <w:t xml:space="preserve">: </w:t>
            </w:r>
            <w:r w:rsidR="005C139E">
              <w:rPr>
                <w:lang w:val="en-GB"/>
              </w:rPr>
              <w:t>The indicator wil</w:t>
            </w:r>
            <w:r w:rsidR="00A27CD2">
              <w:rPr>
                <w:lang w:val="en-GB"/>
              </w:rPr>
              <w:t xml:space="preserve">l only be measured once every two years. </w:t>
            </w:r>
          </w:p>
        </w:tc>
      </w:tr>
      <w:tr w:rsidR="00D70690" w:rsidRPr="0083254F" w14:paraId="21395E3F" w14:textId="77777777" w:rsidTr="00B56D94">
        <w:tc>
          <w:tcPr>
            <w:tcW w:w="476" w:type="dxa"/>
            <w:vMerge w:val="restart"/>
          </w:tcPr>
          <w:p w14:paraId="36C822B0" w14:textId="77777777" w:rsidR="00D70690" w:rsidRPr="0083254F" w:rsidRDefault="00536700" w:rsidP="00D70690">
            <w:pPr>
              <w:rPr>
                <w:lang w:val="en-GB"/>
              </w:rPr>
            </w:pPr>
            <w:r w:rsidRPr="0083254F">
              <w:rPr>
                <w:lang w:val="en-GB"/>
              </w:rPr>
              <w:t>2</w:t>
            </w:r>
            <w:r w:rsidR="00D70690" w:rsidRPr="0083254F">
              <w:rPr>
                <w:lang w:val="en-GB"/>
              </w:rPr>
              <w:t>.3</w:t>
            </w:r>
          </w:p>
        </w:tc>
        <w:tc>
          <w:tcPr>
            <w:tcW w:w="5639" w:type="dxa"/>
          </w:tcPr>
          <w:p w14:paraId="2A210D3A" w14:textId="67D5CD31" w:rsidR="00A27CD2" w:rsidRPr="00FE7C74" w:rsidRDefault="00536700" w:rsidP="00D70690">
            <w:pPr>
              <w:rPr>
                <w:lang w:val="en-GB"/>
              </w:rPr>
            </w:pPr>
            <w:r w:rsidRPr="00FE7C74">
              <w:rPr>
                <w:lang w:val="en-GB"/>
              </w:rPr>
              <w:t xml:space="preserve">US$ volume of non-UNCDF funds </w:t>
            </w:r>
            <w:r w:rsidR="00292057" w:rsidRPr="00FE7C74">
              <w:rPr>
                <w:lang w:val="en-GB"/>
              </w:rPr>
              <w:t>channelled</w:t>
            </w:r>
            <w:r w:rsidRPr="00FE7C74">
              <w:rPr>
                <w:lang w:val="en-GB"/>
              </w:rPr>
              <w:t xml:space="preserve"> through local</w:t>
            </w:r>
            <w:r w:rsidR="00292057" w:rsidRPr="00FE7C74">
              <w:rPr>
                <w:lang w:val="en-GB"/>
              </w:rPr>
              <w:t>, decentralized</w:t>
            </w:r>
            <w:r w:rsidRPr="00FE7C74">
              <w:rPr>
                <w:lang w:val="en-GB"/>
              </w:rPr>
              <w:t xml:space="preserve"> public financing systems </w:t>
            </w:r>
            <w:r w:rsidR="005B21E4" w:rsidRPr="00FE7C74">
              <w:rPr>
                <w:lang w:val="en-GB"/>
              </w:rPr>
              <w:t>supported by</w:t>
            </w:r>
            <w:r w:rsidRPr="00FE7C74">
              <w:rPr>
                <w:lang w:val="en-GB"/>
              </w:rPr>
              <w:t xml:space="preserve"> UNCDF</w:t>
            </w:r>
          </w:p>
          <w:p w14:paraId="36E787CA" w14:textId="102DCCCF" w:rsidR="00D70690" w:rsidRPr="00FE7C74" w:rsidRDefault="00D70690" w:rsidP="00D70690">
            <w:pPr>
              <w:rPr>
                <w:lang w:val="en-GB"/>
              </w:rPr>
            </w:pPr>
          </w:p>
        </w:tc>
        <w:tc>
          <w:tcPr>
            <w:tcW w:w="1859" w:type="dxa"/>
          </w:tcPr>
          <w:p w14:paraId="6B511FA8" w14:textId="635A13A0" w:rsidR="00D70690" w:rsidRPr="00FE7C74" w:rsidRDefault="000F371E" w:rsidP="00D70690">
            <w:pPr>
              <w:rPr>
                <w:lang w:val="en-GB"/>
              </w:rPr>
            </w:pPr>
            <w:r w:rsidRPr="00FE7C74">
              <w:rPr>
                <w:lang w:val="en-GB"/>
              </w:rPr>
              <w:t>$9m</w:t>
            </w:r>
            <w:r w:rsidRPr="00FE7C74">
              <w:rPr>
                <w:rStyle w:val="FootnoteReference"/>
                <w:color w:val="auto"/>
                <w:lang w:val="en-GB"/>
              </w:rPr>
              <w:footnoteReference w:id="9"/>
            </w:r>
            <w:r w:rsidRPr="00FE7C74">
              <w:rPr>
                <w:lang w:val="en-GB"/>
              </w:rPr>
              <w:t xml:space="preserve"> </w:t>
            </w:r>
          </w:p>
        </w:tc>
        <w:tc>
          <w:tcPr>
            <w:tcW w:w="1244" w:type="dxa"/>
          </w:tcPr>
          <w:p w14:paraId="2238509E" w14:textId="735B5B47" w:rsidR="00D70690" w:rsidRPr="0083254F" w:rsidRDefault="005C139E" w:rsidP="00D70690">
            <w:pPr>
              <w:rPr>
                <w:lang w:val="en-GB"/>
              </w:rPr>
            </w:pPr>
            <w:r>
              <w:rPr>
                <w:lang w:val="en-GB"/>
              </w:rPr>
              <w:t>$</w:t>
            </w:r>
            <w:r w:rsidR="001C3DF3">
              <w:rPr>
                <w:lang w:val="en-GB"/>
              </w:rPr>
              <w:t>12</w:t>
            </w:r>
            <w:r>
              <w:rPr>
                <w:lang w:val="en-GB"/>
              </w:rPr>
              <w:t>m</w:t>
            </w:r>
          </w:p>
        </w:tc>
        <w:tc>
          <w:tcPr>
            <w:tcW w:w="1244" w:type="dxa"/>
          </w:tcPr>
          <w:p w14:paraId="6579761E" w14:textId="332EDBF7" w:rsidR="00D70690" w:rsidRPr="0083254F" w:rsidRDefault="005C139E" w:rsidP="00D70690">
            <w:pPr>
              <w:rPr>
                <w:lang w:val="en-GB"/>
              </w:rPr>
            </w:pPr>
            <w:r>
              <w:rPr>
                <w:lang w:val="en-GB"/>
              </w:rPr>
              <w:t>$</w:t>
            </w:r>
            <w:r w:rsidR="001C3DF3">
              <w:rPr>
                <w:lang w:val="en-GB"/>
              </w:rPr>
              <w:t>15</w:t>
            </w:r>
            <w:r>
              <w:rPr>
                <w:lang w:val="en-GB"/>
              </w:rPr>
              <w:t>m</w:t>
            </w:r>
          </w:p>
        </w:tc>
        <w:tc>
          <w:tcPr>
            <w:tcW w:w="1244" w:type="dxa"/>
          </w:tcPr>
          <w:p w14:paraId="7FB549FE" w14:textId="3F48980E" w:rsidR="00D70690" w:rsidRPr="0083254F" w:rsidRDefault="005C139E" w:rsidP="00D70690">
            <w:pPr>
              <w:rPr>
                <w:lang w:val="en-GB"/>
              </w:rPr>
            </w:pPr>
            <w:r>
              <w:rPr>
                <w:lang w:val="en-GB"/>
              </w:rPr>
              <w:t>$</w:t>
            </w:r>
            <w:r w:rsidR="001C3DF3">
              <w:rPr>
                <w:lang w:val="en-GB"/>
              </w:rPr>
              <w:t>18</w:t>
            </w:r>
            <w:r w:rsidR="001212D3">
              <w:rPr>
                <w:lang w:val="en-GB"/>
              </w:rPr>
              <w:t>m</w:t>
            </w:r>
          </w:p>
        </w:tc>
        <w:tc>
          <w:tcPr>
            <w:tcW w:w="1244" w:type="dxa"/>
          </w:tcPr>
          <w:p w14:paraId="68E48118" w14:textId="2600C9F3" w:rsidR="00D70690" w:rsidRPr="0083254F" w:rsidRDefault="005C139E" w:rsidP="00D70690">
            <w:pPr>
              <w:rPr>
                <w:lang w:val="en-GB"/>
              </w:rPr>
            </w:pPr>
            <w:r>
              <w:rPr>
                <w:lang w:val="en-GB"/>
              </w:rPr>
              <w:t>$</w:t>
            </w:r>
            <w:r w:rsidR="001C3DF3">
              <w:rPr>
                <w:lang w:val="en-GB"/>
              </w:rPr>
              <w:t>21</w:t>
            </w:r>
            <w:r w:rsidR="001212D3">
              <w:rPr>
                <w:lang w:val="en-GB"/>
              </w:rPr>
              <w:t>m</w:t>
            </w:r>
          </w:p>
        </w:tc>
      </w:tr>
      <w:tr w:rsidR="00D70690" w:rsidRPr="0083254F" w14:paraId="003E1B7D" w14:textId="77777777" w:rsidTr="00B56D94">
        <w:tc>
          <w:tcPr>
            <w:tcW w:w="476" w:type="dxa"/>
            <w:vMerge/>
          </w:tcPr>
          <w:p w14:paraId="30E15946" w14:textId="77777777" w:rsidR="00D70690" w:rsidRPr="0083254F" w:rsidRDefault="00D70690" w:rsidP="00D70690">
            <w:pPr>
              <w:rPr>
                <w:lang w:val="en-GB"/>
              </w:rPr>
            </w:pPr>
          </w:p>
        </w:tc>
        <w:tc>
          <w:tcPr>
            <w:tcW w:w="12474" w:type="dxa"/>
            <w:gridSpan w:val="6"/>
            <w:shd w:val="clear" w:color="auto" w:fill="D0CECE" w:themeFill="background2" w:themeFillShade="E6"/>
          </w:tcPr>
          <w:p w14:paraId="502AA9B8" w14:textId="77777777" w:rsidR="00536700" w:rsidRPr="0083254F" w:rsidRDefault="00536700" w:rsidP="00536700">
            <w:pPr>
              <w:rPr>
                <w:lang w:val="en-GB"/>
              </w:rPr>
            </w:pPr>
            <w:r w:rsidRPr="0083254F">
              <w:rPr>
                <w:b/>
                <w:lang w:val="en-GB"/>
              </w:rPr>
              <w:t xml:space="preserve">Corresponding SDG target: </w:t>
            </w:r>
            <w:r w:rsidRPr="0083254F">
              <w:rPr>
                <w:b/>
                <w:u w:val="single"/>
                <w:lang w:val="en-GB"/>
              </w:rPr>
              <w:t>11.3</w:t>
            </w:r>
            <w:r w:rsidRPr="0083254F">
              <w:rPr>
                <w:lang w:val="en-GB"/>
              </w:rPr>
              <w:t xml:space="preserve"> and</w:t>
            </w:r>
            <w:r w:rsidRPr="0083254F">
              <w:rPr>
                <w:b/>
                <w:lang w:val="en-GB"/>
              </w:rPr>
              <w:t xml:space="preserve"> </w:t>
            </w:r>
            <w:r w:rsidRPr="0083254F">
              <w:rPr>
                <w:b/>
                <w:u w:val="single"/>
                <w:lang w:val="en-GB"/>
              </w:rPr>
              <w:t>17.1</w:t>
            </w:r>
            <w:r w:rsidRPr="0083254F">
              <w:rPr>
                <w:lang w:val="en-GB"/>
              </w:rPr>
              <w:t xml:space="preserve"> </w:t>
            </w:r>
          </w:p>
          <w:p w14:paraId="0FBDE923" w14:textId="77777777" w:rsidR="00D70690" w:rsidRPr="0083254F" w:rsidRDefault="00D70690" w:rsidP="00D70690">
            <w:pPr>
              <w:rPr>
                <w:lang w:val="en-GB"/>
              </w:rPr>
            </w:pPr>
            <w:r w:rsidRPr="0083254F">
              <w:rPr>
                <w:b/>
                <w:lang w:val="en-GB"/>
              </w:rPr>
              <w:t>Related UNCDF IRRM 2014-2017 indicator:</w:t>
            </w:r>
            <w:r w:rsidR="00536700" w:rsidRPr="0083254F">
              <w:rPr>
                <w:lang w:val="en-GB"/>
              </w:rPr>
              <w:t xml:space="preserve"> Amended Outcome indicator 2.c</w:t>
            </w:r>
            <w:r w:rsidRPr="0083254F">
              <w:rPr>
                <w:lang w:val="en-GB"/>
              </w:rPr>
              <w:t xml:space="preserve"> </w:t>
            </w:r>
          </w:p>
          <w:p w14:paraId="03A5AFC5" w14:textId="77777777" w:rsidR="00D70690" w:rsidRPr="0083254F" w:rsidRDefault="00D70690" w:rsidP="00D70690">
            <w:pPr>
              <w:rPr>
                <w:lang w:val="en-GB"/>
              </w:rPr>
            </w:pPr>
            <w:r w:rsidRPr="0083254F">
              <w:rPr>
                <w:b/>
                <w:lang w:val="en-GB"/>
              </w:rPr>
              <w:t xml:space="preserve">Data source: </w:t>
            </w:r>
            <w:r w:rsidRPr="0083254F">
              <w:rPr>
                <w:lang w:val="en-GB"/>
              </w:rPr>
              <w:t>Project reports</w:t>
            </w:r>
          </w:p>
          <w:p w14:paraId="0654DA0F" w14:textId="097C8D45" w:rsidR="00D70690" w:rsidRPr="0083254F" w:rsidRDefault="00536700" w:rsidP="00D70690">
            <w:pPr>
              <w:rPr>
                <w:lang w:val="en-GB"/>
              </w:rPr>
            </w:pPr>
            <w:r w:rsidRPr="0083254F">
              <w:rPr>
                <w:b/>
                <w:lang w:val="en-GB"/>
              </w:rPr>
              <w:t>Approach to the indicator</w:t>
            </w:r>
            <w:r w:rsidR="004A3BD8">
              <w:rPr>
                <w:b/>
                <w:lang w:val="en-GB"/>
              </w:rPr>
              <w:t xml:space="preserve"> (</w:t>
            </w:r>
            <w:r w:rsidR="001C3DF3">
              <w:rPr>
                <w:b/>
                <w:lang w:val="en-GB"/>
              </w:rPr>
              <w:t>cumulative</w:t>
            </w:r>
            <w:r w:rsidR="004A3BD8">
              <w:rPr>
                <w:b/>
                <w:lang w:val="en-GB"/>
              </w:rPr>
              <w:t>)</w:t>
            </w:r>
            <w:r w:rsidRPr="0083254F">
              <w:rPr>
                <w:b/>
                <w:lang w:val="en-GB"/>
              </w:rPr>
              <w:t>:</w:t>
            </w:r>
            <w:r w:rsidR="00B26D36" w:rsidRPr="0083254F">
              <w:rPr>
                <w:lang w:val="en-GB"/>
              </w:rPr>
              <w:t xml:space="preserve"> </w:t>
            </w:r>
            <w:r w:rsidR="00A27CD2">
              <w:rPr>
                <w:lang w:val="en-GB"/>
              </w:rPr>
              <w:t xml:space="preserve">The indicator will capture additional non-UNCDF funds mobilized by Local Climate Adaptation Facility (LoCAL), Finance for Food and Municipal Finance mechanisms. </w:t>
            </w:r>
          </w:p>
        </w:tc>
      </w:tr>
      <w:tr w:rsidR="00FA71D8" w:rsidRPr="0083254F" w14:paraId="09924F11" w14:textId="77777777" w:rsidTr="00B56D94">
        <w:tc>
          <w:tcPr>
            <w:tcW w:w="476" w:type="dxa"/>
            <w:vMerge w:val="restart"/>
          </w:tcPr>
          <w:p w14:paraId="69B13A10" w14:textId="77777777" w:rsidR="00FA71D8" w:rsidRPr="0083254F" w:rsidRDefault="00FA71D8" w:rsidP="00FA71D8">
            <w:pPr>
              <w:rPr>
                <w:lang w:val="en-GB"/>
              </w:rPr>
            </w:pPr>
            <w:r w:rsidRPr="0083254F">
              <w:rPr>
                <w:lang w:val="en-GB"/>
              </w:rPr>
              <w:t>2.</w:t>
            </w:r>
            <w:r w:rsidR="00292057">
              <w:rPr>
                <w:lang w:val="en-GB"/>
              </w:rPr>
              <w:t>4</w:t>
            </w:r>
          </w:p>
        </w:tc>
        <w:tc>
          <w:tcPr>
            <w:tcW w:w="5639" w:type="dxa"/>
          </w:tcPr>
          <w:p w14:paraId="4F0D65BC" w14:textId="77777777" w:rsidR="00FA71D8" w:rsidRPr="0083254F" w:rsidRDefault="00FA71D8" w:rsidP="00FA71D8">
            <w:pPr>
              <w:rPr>
                <w:lang w:val="en-GB"/>
              </w:rPr>
            </w:pPr>
            <w:r w:rsidRPr="0083254F">
              <w:rPr>
                <w:lang w:val="en-GB"/>
              </w:rPr>
              <w:t>US$ value of non-UNCDF investments mobilized using UNCDF finance mechanisms, disaggregated by type and theme</w:t>
            </w:r>
          </w:p>
        </w:tc>
        <w:tc>
          <w:tcPr>
            <w:tcW w:w="1859" w:type="dxa"/>
          </w:tcPr>
          <w:p w14:paraId="6D0CE322" w14:textId="0A443ADB" w:rsidR="00FA71D8" w:rsidRDefault="005C139E" w:rsidP="00FA71D8">
            <w:pPr>
              <w:rPr>
                <w:lang w:val="en-GB"/>
              </w:rPr>
            </w:pPr>
            <w:r>
              <w:rPr>
                <w:lang w:val="en-GB"/>
              </w:rPr>
              <w:t>a) Grant: NA</w:t>
            </w:r>
          </w:p>
          <w:p w14:paraId="1DC9C50D" w14:textId="41FF27B0" w:rsidR="005C139E" w:rsidRDefault="005C139E" w:rsidP="00FA71D8">
            <w:pPr>
              <w:rPr>
                <w:lang w:val="en-GB"/>
              </w:rPr>
            </w:pPr>
            <w:r>
              <w:rPr>
                <w:lang w:val="en-GB"/>
              </w:rPr>
              <w:t>b) Loans NA</w:t>
            </w:r>
          </w:p>
          <w:p w14:paraId="5F09B5DC" w14:textId="5048C6C4" w:rsidR="005C139E" w:rsidRPr="0083254F" w:rsidRDefault="005C139E" w:rsidP="00FA71D8">
            <w:pPr>
              <w:rPr>
                <w:lang w:val="en-GB"/>
              </w:rPr>
            </w:pPr>
            <w:r>
              <w:rPr>
                <w:lang w:val="en-GB"/>
              </w:rPr>
              <w:t>c) Guarantee: NA</w:t>
            </w:r>
          </w:p>
        </w:tc>
        <w:tc>
          <w:tcPr>
            <w:tcW w:w="1244" w:type="dxa"/>
          </w:tcPr>
          <w:p w14:paraId="1D69063A" w14:textId="6F1838B1" w:rsidR="00FA71D8" w:rsidRDefault="005C139E" w:rsidP="00FA71D8">
            <w:pPr>
              <w:rPr>
                <w:lang w:val="en-GB"/>
              </w:rPr>
            </w:pPr>
            <w:r>
              <w:rPr>
                <w:lang w:val="en-GB"/>
              </w:rPr>
              <w:t>a) $7.5m</w:t>
            </w:r>
          </w:p>
          <w:p w14:paraId="0C507663" w14:textId="77777777" w:rsidR="005C139E" w:rsidRDefault="005C139E" w:rsidP="00FA71D8">
            <w:pPr>
              <w:rPr>
                <w:lang w:val="en-GB"/>
              </w:rPr>
            </w:pPr>
            <w:r>
              <w:rPr>
                <w:lang w:val="en-GB"/>
              </w:rPr>
              <w:t>b) $2m</w:t>
            </w:r>
          </w:p>
          <w:p w14:paraId="200BC6DD" w14:textId="1985FB32" w:rsidR="005C139E" w:rsidRPr="0083254F" w:rsidRDefault="005C139E" w:rsidP="00FA71D8">
            <w:pPr>
              <w:rPr>
                <w:lang w:val="en-GB"/>
              </w:rPr>
            </w:pPr>
            <w:r>
              <w:rPr>
                <w:lang w:val="en-GB"/>
              </w:rPr>
              <w:t>c) $5m</w:t>
            </w:r>
          </w:p>
        </w:tc>
        <w:tc>
          <w:tcPr>
            <w:tcW w:w="1244" w:type="dxa"/>
          </w:tcPr>
          <w:p w14:paraId="44BC15C8" w14:textId="1DD10004" w:rsidR="005C139E" w:rsidRDefault="005C139E" w:rsidP="005C139E">
            <w:pPr>
              <w:rPr>
                <w:lang w:val="en-GB"/>
              </w:rPr>
            </w:pPr>
            <w:r>
              <w:rPr>
                <w:lang w:val="en-GB"/>
              </w:rPr>
              <w:t>a) $7.7m</w:t>
            </w:r>
          </w:p>
          <w:p w14:paraId="7E9C6734" w14:textId="513A1831" w:rsidR="005C139E" w:rsidRDefault="005C139E" w:rsidP="005C139E">
            <w:pPr>
              <w:rPr>
                <w:lang w:val="en-GB"/>
              </w:rPr>
            </w:pPr>
            <w:r>
              <w:rPr>
                <w:lang w:val="en-GB"/>
              </w:rPr>
              <w:t>b) $4m</w:t>
            </w:r>
          </w:p>
          <w:p w14:paraId="5CA608FC" w14:textId="373DA952" w:rsidR="00FA71D8" w:rsidRPr="0083254F" w:rsidRDefault="005C139E" w:rsidP="00FA71D8">
            <w:pPr>
              <w:rPr>
                <w:lang w:val="en-GB"/>
              </w:rPr>
            </w:pPr>
            <w:r>
              <w:rPr>
                <w:lang w:val="en-GB"/>
              </w:rPr>
              <w:t>c) $10m</w:t>
            </w:r>
            <w:r w:rsidRPr="0083254F" w:rsidDel="005C139E">
              <w:rPr>
                <w:lang w:val="en-GB"/>
              </w:rPr>
              <w:t xml:space="preserve"> </w:t>
            </w:r>
          </w:p>
        </w:tc>
        <w:tc>
          <w:tcPr>
            <w:tcW w:w="1244" w:type="dxa"/>
          </w:tcPr>
          <w:p w14:paraId="4F694F2D" w14:textId="45B02404" w:rsidR="005C139E" w:rsidRDefault="005C139E" w:rsidP="005C139E">
            <w:pPr>
              <w:rPr>
                <w:lang w:val="en-GB"/>
              </w:rPr>
            </w:pPr>
            <w:r>
              <w:rPr>
                <w:lang w:val="en-GB"/>
              </w:rPr>
              <w:t>a) $7.8m</w:t>
            </w:r>
          </w:p>
          <w:p w14:paraId="160F6377" w14:textId="53762A21" w:rsidR="005C139E" w:rsidRDefault="005C139E" w:rsidP="005C139E">
            <w:pPr>
              <w:rPr>
                <w:lang w:val="en-GB"/>
              </w:rPr>
            </w:pPr>
            <w:r>
              <w:rPr>
                <w:lang w:val="en-GB"/>
              </w:rPr>
              <w:t>b) $6m</w:t>
            </w:r>
          </w:p>
          <w:p w14:paraId="4B642960" w14:textId="2AC138FF" w:rsidR="00FA71D8" w:rsidRPr="0083254F" w:rsidRDefault="005C139E" w:rsidP="00FA71D8">
            <w:pPr>
              <w:rPr>
                <w:lang w:val="en-GB"/>
              </w:rPr>
            </w:pPr>
            <w:r>
              <w:rPr>
                <w:lang w:val="en-GB"/>
              </w:rPr>
              <w:t>c) $15m</w:t>
            </w:r>
            <w:r w:rsidRPr="0083254F" w:rsidDel="005C139E">
              <w:rPr>
                <w:lang w:val="en-GB"/>
              </w:rPr>
              <w:t xml:space="preserve"> </w:t>
            </w:r>
          </w:p>
        </w:tc>
        <w:tc>
          <w:tcPr>
            <w:tcW w:w="1244" w:type="dxa"/>
          </w:tcPr>
          <w:p w14:paraId="69341100" w14:textId="1B78F080" w:rsidR="005C139E" w:rsidRDefault="005C139E" w:rsidP="005C139E">
            <w:pPr>
              <w:rPr>
                <w:lang w:val="en-GB"/>
              </w:rPr>
            </w:pPr>
            <w:r>
              <w:rPr>
                <w:lang w:val="en-GB"/>
              </w:rPr>
              <w:t>a) $8m</w:t>
            </w:r>
          </w:p>
          <w:p w14:paraId="0D7D22F1" w14:textId="589597C8" w:rsidR="005C139E" w:rsidRDefault="005C139E" w:rsidP="005C139E">
            <w:pPr>
              <w:rPr>
                <w:lang w:val="en-GB"/>
              </w:rPr>
            </w:pPr>
            <w:r>
              <w:rPr>
                <w:lang w:val="en-GB"/>
              </w:rPr>
              <w:t>b) $8m</w:t>
            </w:r>
          </w:p>
          <w:p w14:paraId="3BAA2676" w14:textId="11388093" w:rsidR="00FA71D8" w:rsidRPr="0083254F" w:rsidRDefault="005C139E" w:rsidP="00FA71D8">
            <w:pPr>
              <w:rPr>
                <w:lang w:val="en-GB"/>
              </w:rPr>
            </w:pPr>
            <w:r>
              <w:rPr>
                <w:lang w:val="en-GB"/>
              </w:rPr>
              <w:t>c) $20m</w:t>
            </w:r>
            <w:r w:rsidRPr="0083254F" w:rsidDel="005C139E">
              <w:rPr>
                <w:lang w:val="en-GB"/>
              </w:rPr>
              <w:t xml:space="preserve"> </w:t>
            </w:r>
          </w:p>
        </w:tc>
      </w:tr>
      <w:tr w:rsidR="00FA71D8" w:rsidRPr="0083254F" w14:paraId="3F57E00A" w14:textId="77777777" w:rsidTr="00B56D94">
        <w:tc>
          <w:tcPr>
            <w:tcW w:w="476" w:type="dxa"/>
            <w:vMerge/>
          </w:tcPr>
          <w:p w14:paraId="4CEFFC9E" w14:textId="77777777" w:rsidR="00FA71D8" w:rsidRPr="0083254F" w:rsidRDefault="00FA71D8" w:rsidP="00FA71D8">
            <w:pPr>
              <w:rPr>
                <w:lang w:val="en-GB"/>
              </w:rPr>
            </w:pPr>
          </w:p>
        </w:tc>
        <w:tc>
          <w:tcPr>
            <w:tcW w:w="12474" w:type="dxa"/>
            <w:gridSpan w:val="6"/>
            <w:shd w:val="clear" w:color="auto" w:fill="D0CECE" w:themeFill="background2" w:themeFillShade="E6"/>
          </w:tcPr>
          <w:p w14:paraId="2DBB1124" w14:textId="77777777" w:rsidR="00FA71D8" w:rsidRPr="0083254F" w:rsidRDefault="00FA71D8" w:rsidP="00FA71D8">
            <w:pPr>
              <w:rPr>
                <w:lang w:val="en-GB"/>
              </w:rPr>
            </w:pPr>
            <w:r w:rsidRPr="0083254F">
              <w:rPr>
                <w:b/>
                <w:lang w:val="en-GB"/>
              </w:rPr>
              <w:t xml:space="preserve">Corresponding SDG target: </w:t>
            </w:r>
            <w:r w:rsidRPr="0083254F">
              <w:rPr>
                <w:b/>
                <w:u w:val="single"/>
                <w:lang w:val="en-GB"/>
              </w:rPr>
              <w:t>17.3</w:t>
            </w:r>
          </w:p>
          <w:p w14:paraId="7C8D6073" w14:textId="77777777" w:rsidR="00FA71D8" w:rsidRPr="0083254F" w:rsidRDefault="00FA71D8" w:rsidP="00FA71D8">
            <w:pPr>
              <w:rPr>
                <w:lang w:val="en-GB"/>
              </w:rPr>
            </w:pPr>
            <w:r w:rsidRPr="0083254F">
              <w:rPr>
                <w:b/>
                <w:lang w:val="en-GB"/>
              </w:rPr>
              <w:t>Related UNCDF IRRM 2014-2017 indicator:</w:t>
            </w:r>
            <w:r w:rsidRPr="0083254F">
              <w:rPr>
                <w:lang w:val="en-GB"/>
              </w:rPr>
              <w:t xml:space="preserve"> New</w:t>
            </w:r>
          </w:p>
          <w:p w14:paraId="56BA1BD4" w14:textId="77777777" w:rsidR="00FA71D8" w:rsidRPr="0083254F" w:rsidRDefault="00FA71D8" w:rsidP="00FA71D8">
            <w:pPr>
              <w:rPr>
                <w:lang w:val="en-GB"/>
              </w:rPr>
            </w:pPr>
            <w:r w:rsidRPr="0083254F">
              <w:rPr>
                <w:b/>
                <w:lang w:val="en-GB"/>
              </w:rPr>
              <w:t xml:space="preserve">Data source: </w:t>
            </w:r>
            <w:r w:rsidRPr="0083254F">
              <w:rPr>
                <w:lang w:val="en-GB"/>
              </w:rPr>
              <w:t xml:space="preserve">Project reports, LDC Investment Facility </w:t>
            </w:r>
          </w:p>
          <w:p w14:paraId="34F2E5F6" w14:textId="3FA93376" w:rsidR="00077D46" w:rsidRDefault="00FA71D8" w:rsidP="00B56D94">
            <w:pPr>
              <w:rPr>
                <w:lang w:val="en-GB"/>
              </w:rPr>
            </w:pPr>
            <w:r w:rsidRPr="0083254F">
              <w:rPr>
                <w:b/>
                <w:lang w:val="en-GB"/>
              </w:rPr>
              <w:t>Approach to the indicator</w:t>
            </w:r>
            <w:r w:rsidR="004A3BD8">
              <w:rPr>
                <w:b/>
                <w:lang w:val="en-GB"/>
              </w:rPr>
              <w:t xml:space="preserve"> (incremental)</w:t>
            </w:r>
            <w:r w:rsidRPr="0083254F">
              <w:rPr>
                <w:b/>
                <w:lang w:val="en-GB"/>
              </w:rPr>
              <w:t xml:space="preserve">: </w:t>
            </w:r>
            <w:r w:rsidR="005C139E">
              <w:rPr>
                <w:lang w:val="en-GB"/>
              </w:rPr>
              <w:t xml:space="preserve">Targets are only </w:t>
            </w:r>
            <w:r w:rsidR="002C5BDB">
              <w:rPr>
                <w:lang w:val="en-GB"/>
              </w:rPr>
              <w:t>set by type of finance mechanisms but further disaggregation for themes will be applied in reporting</w:t>
            </w:r>
            <w:r w:rsidR="005C139E">
              <w:rPr>
                <w:lang w:val="en-GB"/>
              </w:rPr>
              <w:t xml:space="preserve">. </w:t>
            </w:r>
          </w:p>
          <w:p w14:paraId="3CCA7E31" w14:textId="44275BA0" w:rsidR="002C5BDB" w:rsidRPr="0083254F" w:rsidRDefault="002C5BDB" w:rsidP="00B56D94">
            <w:pPr>
              <w:rPr>
                <w:lang w:val="en-GB"/>
              </w:rPr>
            </w:pPr>
          </w:p>
        </w:tc>
      </w:tr>
    </w:tbl>
    <w:p w14:paraId="38A2FC7F" w14:textId="77777777" w:rsidR="00D70690" w:rsidRPr="0083254F" w:rsidRDefault="00D70690" w:rsidP="00D70690">
      <w:pPr>
        <w:spacing w:after="0" w:line="240" w:lineRule="auto"/>
        <w:rPr>
          <w:lang w:val="en-GB"/>
        </w:rPr>
      </w:pPr>
    </w:p>
    <w:p w14:paraId="5FBD6CDA" w14:textId="77777777" w:rsidR="00007776" w:rsidRPr="0083254F" w:rsidRDefault="00007776" w:rsidP="00D70690">
      <w:pPr>
        <w:spacing w:after="0" w:line="240" w:lineRule="auto"/>
        <w:rPr>
          <w:lang w:val="en-GB"/>
        </w:rPr>
      </w:pPr>
    </w:p>
    <w:p w14:paraId="5C7B504A" w14:textId="77777777" w:rsidR="0005016A" w:rsidRDefault="0005016A" w:rsidP="00007776">
      <w:pPr>
        <w:spacing w:after="0" w:line="240" w:lineRule="auto"/>
        <w:rPr>
          <w:b/>
          <w:sz w:val="26"/>
          <w:szCs w:val="26"/>
          <w:lang w:val="en-GB"/>
        </w:rPr>
      </w:pPr>
    </w:p>
    <w:p w14:paraId="1AD6A19C" w14:textId="09925430" w:rsidR="00077D46" w:rsidRDefault="00077D46">
      <w:pPr>
        <w:rPr>
          <w:b/>
          <w:sz w:val="26"/>
          <w:szCs w:val="26"/>
          <w:lang w:val="en-GB"/>
        </w:rPr>
      </w:pPr>
    </w:p>
    <w:p w14:paraId="0105C370" w14:textId="7D755F51" w:rsidR="00007776" w:rsidRPr="0083254F" w:rsidRDefault="00007776" w:rsidP="00007776">
      <w:pPr>
        <w:spacing w:after="0" w:line="240" w:lineRule="auto"/>
        <w:rPr>
          <w:b/>
          <w:sz w:val="26"/>
          <w:szCs w:val="26"/>
          <w:lang w:val="en-GB"/>
        </w:rPr>
      </w:pPr>
      <w:r w:rsidRPr="0083254F">
        <w:rPr>
          <w:b/>
          <w:sz w:val="26"/>
          <w:szCs w:val="26"/>
          <w:lang w:val="en-GB"/>
        </w:rPr>
        <w:t>Tier Three: Output</w:t>
      </w:r>
    </w:p>
    <w:tbl>
      <w:tblPr>
        <w:tblStyle w:val="TableGrid"/>
        <w:tblW w:w="0" w:type="auto"/>
        <w:tblCellMar>
          <w:left w:w="43" w:type="dxa"/>
          <w:right w:w="43" w:type="dxa"/>
        </w:tblCellMar>
        <w:tblLook w:val="04A0" w:firstRow="1" w:lastRow="0" w:firstColumn="1" w:lastColumn="0" w:noHBand="0" w:noVBand="1"/>
      </w:tblPr>
      <w:tblGrid>
        <w:gridCol w:w="533"/>
        <w:gridCol w:w="6162"/>
        <w:gridCol w:w="1251"/>
        <w:gridCol w:w="1251"/>
        <w:gridCol w:w="1251"/>
        <w:gridCol w:w="1251"/>
        <w:gridCol w:w="1251"/>
      </w:tblGrid>
      <w:tr w:rsidR="00007776" w:rsidRPr="0083254F" w14:paraId="5E60FE71" w14:textId="77777777" w:rsidTr="00F50D6E">
        <w:tc>
          <w:tcPr>
            <w:tcW w:w="12950" w:type="dxa"/>
            <w:gridSpan w:val="7"/>
            <w:shd w:val="clear" w:color="auto" w:fill="002060"/>
          </w:tcPr>
          <w:p w14:paraId="552743CD" w14:textId="77777777" w:rsidR="00007776" w:rsidRPr="0083254F" w:rsidRDefault="00007776" w:rsidP="00F50D6E">
            <w:pPr>
              <w:rPr>
                <w:b/>
                <w:color w:val="FFFF00"/>
                <w:sz w:val="24"/>
                <w:szCs w:val="24"/>
                <w:lang w:val="en-GB"/>
              </w:rPr>
            </w:pPr>
            <w:r w:rsidRPr="0083254F">
              <w:rPr>
                <w:b/>
                <w:color w:val="FFFF00"/>
                <w:sz w:val="24"/>
                <w:szCs w:val="24"/>
                <w:u w:val="single"/>
                <w:lang w:val="en-GB"/>
              </w:rPr>
              <w:t>Output 1:</w:t>
            </w:r>
            <w:r w:rsidRPr="0083254F">
              <w:rPr>
                <w:b/>
                <w:color w:val="FFFF00"/>
                <w:sz w:val="24"/>
                <w:szCs w:val="24"/>
                <w:lang w:val="en-GB"/>
              </w:rPr>
              <w:t xml:space="preserve"> </w:t>
            </w:r>
            <w:r w:rsidR="00292057">
              <w:rPr>
                <w:b/>
                <w:color w:val="FFFF00"/>
                <w:sz w:val="24"/>
                <w:szCs w:val="24"/>
                <w:lang w:val="en-GB"/>
              </w:rPr>
              <w:t xml:space="preserve"> </w:t>
            </w:r>
            <w:r w:rsidR="00292057" w:rsidRPr="00292057">
              <w:rPr>
                <w:b/>
                <w:color w:val="FFFF00"/>
                <w:sz w:val="24"/>
                <w:szCs w:val="24"/>
                <w:lang w:val="en-GB"/>
              </w:rPr>
              <w:t xml:space="preserve">UNCDF’s capital tools </w:t>
            </w:r>
            <w:r w:rsidR="00F3701B">
              <w:rPr>
                <w:b/>
                <w:color w:val="FFFF00"/>
                <w:sz w:val="24"/>
                <w:szCs w:val="24"/>
                <w:lang w:val="en-GB"/>
              </w:rPr>
              <w:t>utilized</w:t>
            </w:r>
            <w:r w:rsidR="00292057">
              <w:rPr>
                <w:b/>
                <w:color w:val="FFFF00"/>
                <w:sz w:val="24"/>
                <w:szCs w:val="24"/>
                <w:lang w:val="en-GB"/>
              </w:rPr>
              <w:t xml:space="preserve"> </w:t>
            </w:r>
            <w:r w:rsidR="00292057" w:rsidRPr="00292057">
              <w:rPr>
                <w:b/>
                <w:color w:val="FFFF00"/>
                <w:sz w:val="24"/>
                <w:szCs w:val="24"/>
                <w:lang w:val="en-GB"/>
              </w:rPr>
              <w:t>to provide seed capital and incentivize innovation; de-risk and crowd-in new partners</w:t>
            </w:r>
            <w:r w:rsidR="00F3701B">
              <w:rPr>
                <w:b/>
                <w:color w:val="FFFF00"/>
                <w:sz w:val="24"/>
                <w:szCs w:val="24"/>
                <w:lang w:val="en-GB"/>
              </w:rPr>
              <w:t xml:space="preserve"> and to </w:t>
            </w:r>
            <w:r w:rsidR="00292057" w:rsidRPr="00292057">
              <w:rPr>
                <w:b/>
                <w:color w:val="FFFF00"/>
                <w:sz w:val="24"/>
                <w:szCs w:val="24"/>
                <w:lang w:val="en-GB"/>
              </w:rPr>
              <w:t>demonstrate proof of concept</w:t>
            </w:r>
          </w:p>
        </w:tc>
      </w:tr>
      <w:tr w:rsidR="00007776" w:rsidRPr="0083254F" w14:paraId="131B28B3" w14:textId="77777777" w:rsidTr="006977EB">
        <w:tc>
          <w:tcPr>
            <w:tcW w:w="6695" w:type="dxa"/>
            <w:gridSpan w:val="2"/>
            <w:shd w:val="clear" w:color="auto" w:fill="F2F2F2" w:themeFill="background1" w:themeFillShade="F2"/>
          </w:tcPr>
          <w:p w14:paraId="4A0E1ABA" w14:textId="77777777" w:rsidR="00007776" w:rsidRPr="0083254F" w:rsidRDefault="00007776" w:rsidP="00F50D6E">
            <w:pPr>
              <w:rPr>
                <w:b/>
                <w:lang w:val="en-GB"/>
              </w:rPr>
            </w:pPr>
            <w:r w:rsidRPr="0083254F">
              <w:rPr>
                <w:b/>
                <w:lang w:val="en-GB"/>
              </w:rPr>
              <w:t>Out</w:t>
            </w:r>
            <w:r w:rsidR="00310792" w:rsidRPr="0083254F">
              <w:rPr>
                <w:b/>
                <w:lang w:val="en-GB"/>
              </w:rPr>
              <w:t>put</w:t>
            </w:r>
            <w:r w:rsidRPr="0083254F">
              <w:rPr>
                <w:b/>
                <w:lang w:val="en-GB"/>
              </w:rPr>
              <w:t xml:space="preserve"> indicators</w:t>
            </w:r>
          </w:p>
        </w:tc>
        <w:tc>
          <w:tcPr>
            <w:tcW w:w="1251" w:type="dxa"/>
            <w:shd w:val="clear" w:color="auto" w:fill="F2F2F2" w:themeFill="background1" w:themeFillShade="F2"/>
          </w:tcPr>
          <w:p w14:paraId="1A243E12" w14:textId="77777777" w:rsidR="00007776" w:rsidRPr="0083254F" w:rsidRDefault="00007776" w:rsidP="00F50D6E">
            <w:pPr>
              <w:jc w:val="center"/>
              <w:rPr>
                <w:b/>
                <w:lang w:val="en-GB"/>
              </w:rPr>
            </w:pPr>
            <w:r w:rsidRPr="0083254F">
              <w:rPr>
                <w:b/>
                <w:lang w:val="en-GB"/>
              </w:rPr>
              <w:t>Baseline</w:t>
            </w:r>
          </w:p>
        </w:tc>
        <w:tc>
          <w:tcPr>
            <w:tcW w:w="1251" w:type="dxa"/>
            <w:shd w:val="clear" w:color="auto" w:fill="F2F2F2" w:themeFill="background1" w:themeFillShade="F2"/>
          </w:tcPr>
          <w:p w14:paraId="7B6DEC9C" w14:textId="77777777" w:rsidR="00007776" w:rsidRPr="0083254F" w:rsidRDefault="00007776" w:rsidP="00F50D6E">
            <w:pPr>
              <w:jc w:val="center"/>
              <w:rPr>
                <w:b/>
                <w:lang w:val="en-GB"/>
              </w:rPr>
            </w:pPr>
            <w:r w:rsidRPr="0083254F">
              <w:rPr>
                <w:b/>
                <w:lang w:val="en-GB"/>
              </w:rPr>
              <w:t>2018 Target</w:t>
            </w:r>
          </w:p>
        </w:tc>
        <w:tc>
          <w:tcPr>
            <w:tcW w:w="1251" w:type="dxa"/>
            <w:shd w:val="clear" w:color="auto" w:fill="F2F2F2" w:themeFill="background1" w:themeFillShade="F2"/>
          </w:tcPr>
          <w:p w14:paraId="431B2617" w14:textId="77777777" w:rsidR="00007776" w:rsidRPr="0083254F" w:rsidRDefault="00007776" w:rsidP="00F50D6E">
            <w:pPr>
              <w:jc w:val="center"/>
              <w:rPr>
                <w:b/>
                <w:lang w:val="en-GB"/>
              </w:rPr>
            </w:pPr>
            <w:r w:rsidRPr="0083254F">
              <w:rPr>
                <w:b/>
                <w:lang w:val="en-GB"/>
              </w:rPr>
              <w:t>2019 Target</w:t>
            </w:r>
          </w:p>
        </w:tc>
        <w:tc>
          <w:tcPr>
            <w:tcW w:w="1251" w:type="dxa"/>
            <w:shd w:val="clear" w:color="auto" w:fill="F2F2F2" w:themeFill="background1" w:themeFillShade="F2"/>
          </w:tcPr>
          <w:p w14:paraId="03911F4B" w14:textId="77777777" w:rsidR="00007776" w:rsidRPr="0083254F" w:rsidRDefault="00007776" w:rsidP="00F50D6E">
            <w:pPr>
              <w:jc w:val="center"/>
              <w:rPr>
                <w:b/>
                <w:lang w:val="en-GB"/>
              </w:rPr>
            </w:pPr>
            <w:r w:rsidRPr="0083254F">
              <w:rPr>
                <w:b/>
                <w:lang w:val="en-GB"/>
              </w:rPr>
              <w:t>2020 Target</w:t>
            </w:r>
          </w:p>
        </w:tc>
        <w:tc>
          <w:tcPr>
            <w:tcW w:w="1251" w:type="dxa"/>
            <w:shd w:val="clear" w:color="auto" w:fill="F2F2F2" w:themeFill="background1" w:themeFillShade="F2"/>
          </w:tcPr>
          <w:p w14:paraId="716A390A" w14:textId="77777777" w:rsidR="00007776" w:rsidRPr="0083254F" w:rsidRDefault="00007776" w:rsidP="00F50D6E">
            <w:pPr>
              <w:jc w:val="center"/>
              <w:rPr>
                <w:b/>
                <w:lang w:val="en-GB"/>
              </w:rPr>
            </w:pPr>
            <w:r w:rsidRPr="0083254F">
              <w:rPr>
                <w:b/>
                <w:lang w:val="en-GB"/>
              </w:rPr>
              <w:t>2021 Target</w:t>
            </w:r>
          </w:p>
        </w:tc>
      </w:tr>
      <w:tr w:rsidR="00007776" w:rsidRPr="0083254F" w14:paraId="094B4290" w14:textId="77777777" w:rsidTr="006977EB">
        <w:tc>
          <w:tcPr>
            <w:tcW w:w="533" w:type="dxa"/>
            <w:vMerge w:val="restart"/>
          </w:tcPr>
          <w:p w14:paraId="13F51C71" w14:textId="77777777" w:rsidR="00007776" w:rsidRPr="0083254F" w:rsidRDefault="006977EB" w:rsidP="00F50D6E">
            <w:pPr>
              <w:rPr>
                <w:lang w:val="en-GB"/>
              </w:rPr>
            </w:pPr>
            <w:r w:rsidRPr="0083254F">
              <w:rPr>
                <w:lang w:val="en-GB"/>
              </w:rPr>
              <w:t>1.1.1</w:t>
            </w:r>
          </w:p>
        </w:tc>
        <w:tc>
          <w:tcPr>
            <w:tcW w:w="6162" w:type="dxa"/>
          </w:tcPr>
          <w:p w14:paraId="3D50E47B" w14:textId="049A9DF0" w:rsidR="00532AAA" w:rsidRPr="0083254F" w:rsidRDefault="006977EB" w:rsidP="00F50D6E">
            <w:pPr>
              <w:rPr>
                <w:lang w:val="en-GB"/>
              </w:rPr>
            </w:pPr>
            <w:r w:rsidRPr="0083254F">
              <w:rPr>
                <w:lang w:val="en-GB"/>
              </w:rPr>
              <w:t>US$ volume of UNCDF investments disaggregated by partner</w:t>
            </w:r>
            <w:r w:rsidR="004312D4">
              <w:rPr>
                <w:lang w:val="en-GB"/>
              </w:rPr>
              <w:t xml:space="preserve">, </w:t>
            </w:r>
            <w:r w:rsidRPr="0083254F">
              <w:rPr>
                <w:lang w:val="en-GB"/>
              </w:rPr>
              <w:t>UNCDF finance mechanism</w:t>
            </w:r>
            <w:r w:rsidR="004312D4">
              <w:rPr>
                <w:lang w:val="en-GB"/>
              </w:rPr>
              <w:t xml:space="preserve">, and </w:t>
            </w:r>
            <w:r w:rsidR="00532AAA">
              <w:rPr>
                <w:lang w:val="en-GB"/>
              </w:rPr>
              <w:t>pipeline origination</w:t>
            </w:r>
          </w:p>
        </w:tc>
        <w:tc>
          <w:tcPr>
            <w:tcW w:w="1251" w:type="dxa"/>
          </w:tcPr>
          <w:p w14:paraId="656D61B6" w14:textId="5FAAE1E9" w:rsidR="004312D4" w:rsidRPr="00B56D94" w:rsidRDefault="004312D4" w:rsidP="00F50D6E">
            <w:pPr>
              <w:rPr>
                <w:lang w:val="fr-FR"/>
              </w:rPr>
            </w:pPr>
            <w:r w:rsidRPr="00B56D94">
              <w:rPr>
                <w:lang w:val="fr-FR"/>
              </w:rPr>
              <w:t>a)</w:t>
            </w:r>
            <w:r w:rsidR="00077D46" w:rsidRPr="00B56D94">
              <w:rPr>
                <w:lang w:val="fr-FR"/>
              </w:rPr>
              <w:t xml:space="preserve"> Grant</w:t>
            </w:r>
          </w:p>
          <w:p w14:paraId="39A992F2" w14:textId="17D5ADB8" w:rsidR="00077D46" w:rsidRPr="00B56D94" w:rsidRDefault="00077D46" w:rsidP="00F50D6E">
            <w:pPr>
              <w:rPr>
                <w:lang w:val="fr-FR"/>
              </w:rPr>
            </w:pPr>
            <w:r w:rsidRPr="00B56D94">
              <w:rPr>
                <w:lang w:val="fr-FR"/>
              </w:rPr>
              <w:t>FI: $10.7m</w:t>
            </w:r>
            <w:r w:rsidR="00C6266F">
              <w:rPr>
                <w:lang w:val="fr-FR"/>
              </w:rPr>
              <w:t> ;</w:t>
            </w:r>
          </w:p>
          <w:p w14:paraId="7F2464D7" w14:textId="2A06FAB2" w:rsidR="00077D46" w:rsidRDefault="00077D46" w:rsidP="00F50D6E">
            <w:pPr>
              <w:rPr>
                <w:lang w:val="fr-FR"/>
              </w:rPr>
            </w:pPr>
            <w:r w:rsidRPr="00B56D94">
              <w:rPr>
                <w:lang w:val="fr-FR"/>
              </w:rPr>
              <w:t>LD: $7.9m</w:t>
            </w:r>
          </w:p>
          <w:p w14:paraId="64149A1C" w14:textId="77777777" w:rsidR="00077D46" w:rsidRPr="00B56D94" w:rsidRDefault="00077D46" w:rsidP="00F50D6E">
            <w:pPr>
              <w:rPr>
                <w:lang w:val="fr-FR"/>
              </w:rPr>
            </w:pPr>
          </w:p>
          <w:p w14:paraId="26AFFE19" w14:textId="09966D9A" w:rsidR="004312D4" w:rsidRPr="00B56D94" w:rsidRDefault="004312D4" w:rsidP="00F50D6E">
            <w:pPr>
              <w:rPr>
                <w:lang w:val="fr-FR"/>
              </w:rPr>
            </w:pPr>
            <w:r w:rsidRPr="00B56D94">
              <w:rPr>
                <w:lang w:val="fr-FR"/>
              </w:rPr>
              <w:t>b)</w:t>
            </w:r>
            <w:r w:rsidR="00077D46" w:rsidRPr="00B56D94">
              <w:rPr>
                <w:lang w:val="fr-FR"/>
              </w:rPr>
              <w:t xml:space="preserve"> TA</w:t>
            </w:r>
          </w:p>
          <w:p w14:paraId="756E9AE3" w14:textId="511DC0CD" w:rsidR="00077D46" w:rsidRPr="00B56D94" w:rsidRDefault="00077D46" w:rsidP="00F50D6E">
            <w:r w:rsidRPr="00B56D94">
              <w:t>FI: $10.2m</w:t>
            </w:r>
            <w:r w:rsidR="00C6266F">
              <w:t>;</w:t>
            </w:r>
          </w:p>
          <w:p w14:paraId="5C8AC3E4" w14:textId="67BA6187" w:rsidR="00077D46" w:rsidRPr="00B56D94" w:rsidRDefault="00077D46" w:rsidP="00F50D6E">
            <w:r w:rsidRPr="00B56D94">
              <w:t>LD: $3.7m</w:t>
            </w:r>
          </w:p>
          <w:p w14:paraId="71A307A1" w14:textId="77777777" w:rsidR="00077D46" w:rsidRDefault="00077D46" w:rsidP="00F50D6E"/>
          <w:p w14:paraId="131091D6" w14:textId="22D6A8F2" w:rsidR="00C6266F" w:rsidRPr="00B56D94" w:rsidRDefault="004312D4" w:rsidP="00016E21">
            <w:r w:rsidRPr="00B56D94">
              <w:t>c)</w:t>
            </w:r>
            <w:r w:rsidR="00077D46" w:rsidRPr="00B56D94">
              <w:t xml:space="preserve"> Loans</w:t>
            </w:r>
            <w:r w:rsidR="00077D46">
              <w:t xml:space="preserve"> &amp; </w:t>
            </w:r>
            <w:r w:rsidR="00077D46" w:rsidRPr="00B56D94">
              <w:t>G</w:t>
            </w:r>
            <w:r w:rsidR="00077D46">
              <w:t xml:space="preserve">uarantees: </w:t>
            </w:r>
            <w:r w:rsidR="00C6266F">
              <w:t>$250k</w:t>
            </w:r>
          </w:p>
        </w:tc>
        <w:tc>
          <w:tcPr>
            <w:tcW w:w="1251" w:type="dxa"/>
          </w:tcPr>
          <w:p w14:paraId="15D65510" w14:textId="77777777" w:rsidR="00077D46" w:rsidRDefault="004312D4" w:rsidP="004312D4">
            <w:pPr>
              <w:rPr>
                <w:lang w:val="en-GB"/>
              </w:rPr>
            </w:pPr>
            <w:r>
              <w:rPr>
                <w:lang w:val="en-GB"/>
              </w:rPr>
              <w:t>a)</w:t>
            </w:r>
            <w:r w:rsidR="00077D46">
              <w:rPr>
                <w:lang w:val="en-GB"/>
              </w:rPr>
              <w:t xml:space="preserve"> </w:t>
            </w:r>
          </w:p>
          <w:p w14:paraId="013DBB36" w14:textId="500DA404" w:rsidR="00077D46" w:rsidRDefault="00077D46" w:rsidP="004312D4">
            <w:pPr>
              <w:rPr>
                <w:lang w:val="en-GB"/>
              </w:rPr>
            </w:pPr>
            <w:r>
              <w:rPr>
                <w:lang w:val="en-GB"/>
              </w:rPr>
              <w:t>FI: $</w:t>
            </w:r>
            <w:r w:rsidR="001212D3">
              <w:rPr>
                <w:lang w:val="en-GB"/>
              </w:rPr>
              <w:t>10.2</w:t>
            </w:r>
            <w:r>
              <w:rPr>
                <w:lang w:val="en-GB"/>
              </w:rPr>
              <w:t>m;</w:t>
            </w:r>
          </w:p>
          <w:p w14:paraId="7A527E69" w14:textId="0DDF851E" w:rsidR="004312D4" w:rsidRDefault="00C6266F" w:rsidP="004312D4">
            <w:pPr>
              <w:rPr>
                <w:lang w:val="en-GB"/>
              </w:rPr>
            </w:pPr>
            <w:r>
              <w:rPr>
                <w:lang w:val="en-GB"/>
              </w:rPr>
              <w:t>LD: $9.5</w:t>
            </w:r>
            <w:r w:rsidR="00077D46">
              <w:rPr>
                <w:lang w:val="en-GB"/>
              </w:rPr>
              <w:t>m</w:t>
            </w:r>
          </w:p>
          <w:p w14:paraId="6844B7CE" w14:textId="77777777" w:rsidR="00077D46" w:rsidRDefault="00077D46" w:rsidP="004312D4">
            <w:pPr>
              <w:rPr>
                <w:lang w:val="en-GB"/>
              </w:rPr>
            </w:pPr>
          </w:p>
          <w:p w14:paraId="4AD4818A" w14:textId="77777777" w:rsidR="00077D46" w:rsidRDefault="004312D4" w:rsidP="004312D4">
            <w:pPr>
              <w:rPr>
                <w:lang w:val="en-GB"/>
              </w:rPr>
            </w:pPr>
            <w:r>
              <w:rPr>
                <w:lang w:val="en-GB"/>
              </w:rPr>
              <w:t>b)</w:t>
            </w:r>
            <w:r w:rsidR="00077D46">
              <w:rPr>
                <w:lang w:val="en-GB"/>
              </w:rPr>
              <w:t xml:space="preserve"> </w:t>
            </w:r>
          </w:p>
          <w:p w14:paraId="49C87336" w14:textId="1B2D4167" w:rsidR="004312D4" w:rsidRDefault="00C6266F" w:rsidP="004312D4">
            <w:pPr>
              <w:rPr>
                <w:lang w:val="en-GB"/>
              </w:rPr>
            </w:pPr>
            <w:r>
              <w:rPr>
                <w:lang w:val="en-GB"/>
              </w:rPr>
              <w:t>FI: $9.6</w:t>
            </w:r>
            <w:r w:rsidR="00077D46">
              <w:rPr>
                <w:lang w:val="en-GB"/>
              </w:rPr>
              <w:t>m</w:t>
            </w:r>
            <w:r>
              <w:rPr>
                <w:lang w:val="en-GB"/>
              </w:rPr>
              <w:t>; LD: $4.4</w:t>
            </w:r>
            <w:r w:rsidR="00077D46">
              <w:rPr>
                <w:lang w:val="en-GB"/>
              </w:rPr>
              <w:t>m</w:t>
            </w:r>
          </w:p>
          <w:p w14:paraId="79750F16" w14:textId="77777777" w:rsidR="00077D46" w:rsidRDefault="00077D46" w:rsidP="004312D4">
            <w:pPr>
              <w:rPr>
                <w:lang w:val="en-GB"/>
              </w:rPr>
            </w:pPr>
          </w:p>
          <w:p w14:paraId="04DBBB08" w14:textId="0E73D921" w:rsidR="004312D4" w:rsidRPr="0083254F" w:rsidRDefault="004312D4" w:rsidP="006977EB">
            <w:pPr>
              <w:rPr>
                <w:lang w:val="en-GB"/>
              </w:rPr>
            </w:pPr>
            <w:r>
              <w:rPr>
                <w:lang w:val="en-GB"/>
              </w:rPr>
              <w:t>c)</w:t>
            </w:r>
            <w:r w:rsidR="00077D46">
              <w:rPr>
                <w:lang w:val="en-GB"/>
              </w:rPr>
              <w:t xml:space="preserve"> $</w:t>
            </w:r>
            <w:r w:rsidR="00C6266F">
              <w:rPr>
                <w:lang w:val="en-GB"/>
              </w:rPr>
              <w:t>3</w:t>
            </w:r>
            <w:r w:rsidR="00077D46">
              <w:rPr>
                <w:lang w:val="en-GB"/>
              </w:rPr>
              <w:t>m</w:t>
            </w:r>
          </w:p>
        </w:tc>
        <w:tc>
          <w:tcPr>
            <w:tcW w:w="1251" w:type="dxa"/>
          </w:tcPr>
          <w:p w14:paraId="1BF3326F" w14:textId="77777777" w:rsidR="00077D46" w:rsidRDefault="00077D46" w:rsidP="00077D46">
            <w:pPr>
              <w:rPr>
                <w:lang w:val="en-GB"/>
              </w:rPr>
            </w:pPr>
            <w:r>
              <w:rPr>
                <w:lang w:val="en-GB"/>
              </w:rPr>
              <w:t xml:space="preserve">a) </w:t>
            </w:r>
          </w:p>
          <w:p w14:paraId="03BF417D" w14:textId="7587C3A6" w:rsidR="00077D46" w:rsidRDefault="00077D46" w:rsidP="00077D46">
            <w:pPr>
              <w:rPr>
                <w:lang w:val="en-GB"/>
              </w:rPr>
            </w:pPr>
            <w:r>
              <w:rPr>
                <w:lang w:val="en-GB"/>
              </w:rPr>
              <w:t>FI: $1</w:t>
            </w:r>
            <w:r w:rsidR="00C6266F">
              <w:rPr>
                <w:lang w:val="en-GB"/>
              </w:rPr>
              <w:t>0.3m</w:t>
            </w:r>
            <w:r>
              <w:rPr>
                <w:lang w:val="en-GB"/>
              </w:rPr>
              <w:t xml:space="preserve">; </w:t>
            </w:r>
          </w:p>
          <w:p w14:paraId="591F3FD2" w14:textId="76CFFFC6" w:rsidR="00077D46" w:rsidRDefault="00C6266F" w:rsidP="00077D46">
            <w:pPr>
              <w:rPr>
                <w:lang w:val="en-GB"/>
              </w:rPr>
            </w:pPr>
            <w:r>
              <w:rPr>
                <w:lang w:val="en-GB"/>
              </w:rPr>
              <w:t>LD: $9.6</w:t>
            </w:r>
            <w:r w:rsidR="00077D46">
              <w:rPr>
                <w:lang w:val="en-GB"/>
              </w:rPr>
              <w:t>m</w:t>
            </w:r>
          </w:p>
          <w:p w14:paraId="1EE03AC0" w14:textId="77777777" w:rsidR="00077D46" w:rsidRDefault="00077D46" w:rsidP="00077D46">
            <w:pPr>
              <w:rPr>
                <w:lang w:val="en-GB"/>
              </w:rPr>
            </w:pPr>
          </w:p>
          <w:p w14:paraId="68EB5401" w14:textId="77777777" w:rsidR="00077D46" w:rsidRDefault="00077D46" w:rsidP="00077D46">
            <w:pPr>
              <w:rPr>
                <w:lang w:val="en-GB"/>
              </w:rPr>
            </w:pPr>
            <w:r>
              <w:rPr>
                <w:lang w:val="en-GB"/>
              </w:rPr>
              <w:t xml:space="preserve">b) </w:t>
            </w:r>
          </w:p>
          <w:p w14:paraId="1B3A9AF7" w14:textId="0E854123" w:rsidR="00077D46" w:rsidRDefault="00077D46" w:rsidP="00077D46">
            <w:pPr>
              <w:rPr>
                <w:lang w:val="en-GB"/>
              </w:rPr>
            </w:pPr>
            <w:r>
              <w:rPr>
                <w:lang w:val="en-GB"/>
              </w:rPr>
              <w:t>FI: $</w:t>
            </w:r>
            <w:r w:rsidR="00C6266F">
              <w:rPr>
                <w:lang w:val="en-GB"/>
              </w:rPr>
              <w:t>9.8</w:t>
            </w:r>
            <w:r>
              <w:rPr>
                <w:lang w:val="en-GB"/>
              </w:rPr>
              <w:t>m; LD: $</w:t>
            </w:r>
            <w:r w:rsidR="00C6266F">
              <w:rPr>
                <w:lang w:val="en-GB"/>
              </w:rPr>
              <w:t>4.5</w:t>
            </w:r>
            <w:r>
              <w:rPr>
                <w:lang w:val="en-GB"/>
              </w:rPr>
              <w:t>m</w:t>
            </w:r>
          </w:p>
          <w:p w14:paraId="3257A696" w14:textId="77777777" w:rsidR="00077D46" w:rsidRDefault="00077D46" w:rsidP="00077D46">
            <w:pPr>
              <w:rPr>
                <w:lang w:val="en-GB"/>
              </w:rPr>
            </w:pPr>
          </w:p>
          <w:p w14:paraId="0F67D0B0" w14:textId="41B9E1AE" w:rsidR="004312D4" w:rsidRPr="0083254F" w:rsidRDefault="00077D46" w:rsidP="006977EB">
            <w:pPr>
              <w:rPr>
                <w:lang w:val="en-GB"/>
              </w:rPr>
            </w:pPr>
            <w:r>
              <w:rPr>
                <w:lang w:val="en-GB"/>
              </w:rPr>
              <w:t>c) $</w:t>
            </w:r>
            <w:r w:rsidR="00C6266F">
              <w:rPr>
                <w:lang w:val="en-GB"/>
              </w:rPr>
              <w:t>4</w:t>
            </w:r>
            <w:r>
              <w:rPr>
                <w:lang w:val="en-GB"/>
              </w:rPr>
              <w:t>m</w:t>
            </w:r>
          </w:p>
        </w:tc>
        <w:tc>
          <w:tcPr>
            <w:tcW w:w="1251" w:type="dxa"/>
          </w:tcPr>
          <w:p w14:paraId="42A08645" w14:textId="77777777" w:rsidR="00077D46" w:rsidRDefault="00077D46" w:rsidP="00077D46">
            <w:pPr>
              <w:rPr>
                <w:lang w:val="en-GB"/>
              </w:rPr>
            </w:pPr>
            <w:r>
              <w:rPr>
                <w:lang w:val="en-GB"/>
              </w:rPr>
              <w:t xml:space="preserve">a) </w:t>
            </w:r>
          </w:p>
          <w:p w14:paraId="08A6F33C" w14:textId="6CDA29F0" w:rsidR="00077D46" w:rsidRDefault="00077D46" w:rsidP="00077D46">
            <w:pPr>
              <w:rPr>
                <w:lang w:val="en-GB"/>
              </w:rPr>
            </w:pPr>
            <w:r>
              <w:rPr>
                <w:lang w:val="en-GB"/>
              </w:rPr>
              <w:t>FI: $1</w:t>
            </w:r>
            <w:r w:rsidR="00C6266F">
              <w:rPr>
                <w:lang w:val="en-GB"/>
              </w:rPr>
              <w:t>0.5</w:t>
            </w:r>
            <w:r>
              <w:rPr>
                <w:lang w:val="en-GB"/>
              </w:rPr>
              <w:t xml:space="preserve">m; </w:t>
            </w:r>
          </w:p>
          <w:p w14:paraId="3861D223" w14:textId="068E5293" w:rsidR="00077D46" w:rsidRDefault="00C6266F" w:rsidP="00077D46">
            <w:pPr>
              <w:rPr>
                <w:lang w:val="en-GB"/>
              </w:rPr>
            </w:pPr>
            <w:r>
              <w:rPr>
                <w:lang w:val="en-GB"/>
              </w:rPr>
              <w:t>LD: $9.8m</w:t>
            </w:r>
          </w:p>
          <w:p w14:paraId="1BC769F9" w14:textId="77777777" w:rsidR="00077D46" w:rsidRDefault="00077D46" w:rsidP="00077D46">
            <w:pPr>
              <w:rPr>
                <w:lang w:val="en-GB"/>
              </w:rPr>
            </w:pPr>
          </w:p>
          <w:p w14:paraId="0E70EE14" w14:textId="77777777" w:rsidR="00077D46" w:rsidRDefault="00077D46" w:rsidP="00077D46">
            <w:pPr>
              <w:rPr>
                <w:lang w:val="en-GB"/>
              </w:rPr>
            </w:pPr>
            <w:r>
              <w:rPr>
                <w:lang w:val="en-GB"/>
              </w:rPr>
              <w:t xml:space="preserve">b) </w:t>
            </w:r>
          </w:p>
          <w:p w14:paraId="4C394674" w14:textId="63E4B5F7" w:rsidR="00077D46" w:rsidRDefault="00077D46" w:rsidP="00077D46">
            <w:pPr>
              <w:rPr>
                <w:lang w:val="en-GB"/>
              </w:rPr>
            </w:pPr>
            <w:r>
              <w:rPr>
                <w:lang w:val="en-GB"/>
              </w:rPr>
              <w:t>FI: $</w:t>
            </w:r>
            <w:r w:rsidR="00C6266F">
              <w:rPr>
                <w:lang w:val="en-GB"/>
              </w:rPr>
              <w:t>10</w:t>
            </w:r>
            <w:r>
              <w:rPr>
                <w:lang w:val="en-GB"/>
              </w:rPr>
              <w:t>m; LD: $</w:t>
            </w:r>
            <w:r w:rsidR="00C6266F">
              <w:rPr>
                <w:lang w:val="en-GB"/>
              </w:rPr>
              <w:t>4.6</w:t>
            </w:r>
            <w:r>
              <w:rPr>
                <w:lang w:val="en-GB"/>
              </w:rPr>
              <w:t>m</w:t>
            </w:r>
          </w:p>
          <w:p w14:paraId="4C50B78B" w14:textId="77777777" w:rsidR="00077D46" w:rsidRDefault="00077D46" w:rsidP="00077D46">
            <w:pPr>
              <w:rPr>
                <w:lang w:val="en-GB"/>
              </w:rPr>
            </w:pPr>
          </w:p>
          <w:p w14:paraId="346651D5" w14:textId="3AC158AB" w:rsidR="00007776" w:rsidRPr="0083254F" w:rsidRDefault="00077D46" w:rsidP="00077D46">
            <w:pPr>
              <w:rPr>
                <w:lang w:val="en-GB"/>
              </w:rPr>
            </w:pPr>
            <w:r>
              <w:rPr>
                <w:lang w:val="en-GB"/>
              </w:rPr>
              <w:t>c) $</w:t>
            </w:r>
            <w:r w:rsidR="00C6266F">
              <w:rPr>
                <w:lang w:val="en-GB"/>
              </w:rPr>
              <w:t>6</w:t>
            </w:r>
            <w:r>
              <w:rPr>
                <w:lang w:val="en-GB"/>
              </w:rPr>
              <w:t>m</w:t>
            </w:r>
          </w:p>
        </w:tc>
        <w:tc>
          <w:tcPr>
            <w:tcW w:w="1251" w:type="dxa"/>
          </w:tcPr>
          <w:p w14:paraId="58AAD5D7" w14:textId="77777777" w:rsidR="00077D46" w:rsidRDefault="00077D46" w:rsidP="00077D46">
            <w:pPr>
              <w:rPr>
                <w:lang w:val="en-GB"/>
              </w:rPr>
            </w:pPr>
            <w:r>
              <w:rPr>
                <w:lang w:val="en-GB"/>
              </w:rPr>
              <w:t xml:space="preserve">a) </w:t>
            </w:r>
          </w:p>
          <w:p w14:paraId="720944B9" w14:textId="0A6CB754" w:rsidR="00077D46" w:rsidRDefault="00C6266F" w:rsidP="00077D46">
            <w:pPr>
              <w:rPr>
                <w:lang w:val="en-GB"/>
              </w:rPr>
            </w:pPr>
            <w:r>
              <w:rPr>
                <w:lang w:val="en-GB"/>
              </w:rPr>
              <w:t>FI: $10.7</w:t>
            </w:r>
            <w:r w:rsidR="00077D46">
              <w:rPr>
                <w:lang w:val="en-GB"/>
              </w:rPr>
              <w:t xml:space="preserve">m; </w:t>
            </w:r>
          </w:p>
          <w:p w14:paraId="6EE0FD84" w14:textId="4A15C137" w:rsidR="00077D46" w:rsidRDefault="00077D46" w:rsidP="00077D46">
            <w:pPr>
              <w:rPr>
                <w:lang w:val="en-GB"/>
              </w:rPr>
            </w:pPr>
            <w:r>
              <w:rPr>
                <w:lang w:val="en-GB"/>
              </w:rPr>
              <w:t>LD: $1</w:t>
            </w:r>
            <w:r w:rsidR="00C6266F">
              <w:rPr>
                <w:lang w:val="en-GB"/>
              </w:rPr>
              <w:t>0m</w:t>
            </w:r>
          </w:p>
          <w:p w14:paraId="486AB0DB" w14:textId="77777777" w:rsidR="00077D46" w:rsidRDefault="00077D46" w:rsidP="00077D46">
            <w:pPr>
              <w:rPr>
                <w:lang w:val="en-GB"/>
              </w:rPr>
            </w:pPr>
          </w:p>
          <w:p w14:paraId="4ECE769A" w14:textId="77777777" w:rsidR="00077D46" w:rsidRDefault="00077D46" w:rsidP="00077D46">
            <w:pPr>
              <w:rPr>
                <w:lang w:val="en-GB"/>
              </w:rPr>
            </w:pPr>
            <w:r>
              <w:rPr>
                <w:lang w:val="en-GB"/>
              </w:rPr>
              <w:t xml:space="preserve">b) </w:t>
            </w:r>
          </w:p>
          <w:p w14:paraId="400F9DCC" w14:textId="79385258" w:rsidR="00077D46" w:rsidRDefault="00077D46" w:rsidP="00077D46">
            <w:pPr>
              <w:rPr>
                <w:lang w:val="en-GB"/>
              </w:rPr>
            </w:pPr>
            <w:r>
              <w:rPr>
                <w:lang w:val="en-GB"/>
              </w:rPr>
              <w:t>FI: $</w:t>
            </w:r>
            <w:r w:rsidR="00C6266F">
              <w:rPr>
                <w:lang w:val="en-GB"/>
              </w:rPr>
              <w:t>10.2</w:t>
            </w:r>
            <w:r>
              <w:rPr>
                <w:lang w:val="en-GB"/>
              </w:rPr>
              <w:t>m; LD: $</w:t>
            </w:r>
            <w:r w:rsidR="00C6266F">
              <w:rPr>
                <w:lang w:val="en-GB"/>
              </w:rPr>
              <w:t>4.7</w:t>
            </w:r>
            <w:r>
              <w:rPr>
                <w:lang w:val="en-GB"/>
              </w:rPr>
              <w:t>m</w:t>
            </w:r>
          </w:p>
          <w:p w14:paraId="32256597" w14:textId="77777777" w:rsidR="00077D46" w:rsidRDefault="00077D46" w:rsidP="00077D46">
            <w:pPr>
              <w:rPr>
                <w:lang w:val="en-GB"/>
              </w:rPr>
            </w:pPr>
          </w:p>
          <w:p w14:paraId="3C57A46A" w14:textId="33A5EAD6" w:rsidR="00007776" w:rsidRPr="0083254F" w:rsidRDefault="00077D46" w:rsidP="006977EB">
            <w:pPr>
              <w:rPr>
                <w:lang w:val="en-GB"/>
              </w:rPr>
            </w:pPr>
            <w:r>
              <w:rPr>
                <w:lang w:val="en-GB"/>
              </w:rPr>
              <w:t>c) $</w:t>
            </w:r>
            <w:r w:rsidR="00C6266F">
              <w:rPr>
                <w:lang w:val="en-GB"/>
              </w:rPr>
              <w:t>8</w:t>
            </w:r>
            <w:r>
              <w:rPr>
                <w:lang w:val="en-GB"/>
              </w:rPr>
              <w:t>m</w:t>
            </w:r>
          </w:p>
        </w:tc>
      </w:tr>
      <w:tr w:rsidR="00007776" w:rsidRPr="0083254F" w14:paraId="73149C9C" w14:textId="77777777" w:rsidTr="006977EB">
        <w:tc>
          <w:tcPr>
            <w:tcW w:w="533" w:type="dxa"/>
            <w:vMerge/>
          </w:tcPr>
          <w:p w14:paraId="27454FCD" w14:textId="77777777" w:rsidR="00007776" w:rsidRPr="0083254F" w:rsidRDefault="00007776" w:rsidP="00F50D6E">
            <w:pPr>
              <w:rPr>
                <w:lang w:val="en-GB"/>
              </w:rPr>
            </w:pPr>
          </w:p>
        </w:tc>
        <w:tc>
          <w:tcPr>
            <w:tcW w:w="12417" w:type="dxa"/>
            <w:gridSpan w:val="6"/>
            <w:shd w:val="clear" w:color="auto" w:fill="D0CECE" w:themeFill="background2" w:themeFillShade="E6"/>
          </w:tcPr>
          <w:p w14:paraId="29133BDF" w14:textId="77777777" w:rsidR="00007776" w:rsidRPr="0083254F" w:rsidRDefault="00007776" w:rsidP="00F50D6E">
            <w:pPr>
              <w:rPr>
                <w:lang w:val="en-GB"/>
              </w:rPr>
            </w:pPr>
            <w:r w:rsidRPr="0083254F">
              <w:rPr>
                <w:b/>
                <w:lang w:val="en-GB"/>
              </w:rPr>
              <w:t>Related UNCDF IRRM 2014-2017 indicator:</w:t>
            </w:r>
            <w:r w:rsidR="006977EB" w:rsidRPr="0083254F">
              <w:rPr>
                <w:lang w:val="en-GB"/>
              </w:rPr>
              <w:t xml:space="preserve"> Amended from combining Output indicators 1.1.2 and 1.2.2</w:t>
            </w:r>
          </w:p>
          <w:p w14:paraId="61ECB007" w14:textId="77777777" w:rsidR="00007776" w:rsidRPr="0083254F" w:rsidRDefault="00007776" w:rsidP="00F50D6E">
            <w:pPr>
              <w:rPr>
                <w:lang w:val="en-GB"/>
              </w:rPr>
            </w:pPr>
            <w:r w:rsidRPr="0083254F">
              <w:rPr>
                <w:b/>
                <w:lang w:val="en-GB"/>
              </w:rPr>
              <w:t xml:space="preserve">Data source: </w:t>
            </w:r>
            <w:r w:rsidR="006977EB" w:rsidRPr="0083254F">
              <w:rPr>
                <w:lang w:val="en-GB"/>
              </w:rPr>
              <w:t xml:space="preserve">Corporate finance report, </w:t>
            </w:r>
            <w:r w:rsidRPr="0083254F">
              <w:rPr>
                <w:lang w:val="en-GB"/>
              </w:rPr>
              <w:t>Project reports</w:t>
            </w:r>
          </w:p>
          <w:p w14:paraId="5029EA76" w14:textId="7F2EE975" w:rsidR="00007776" w:rsidRPr="0083254F" w:rsidRDefault="00007776" w:rsidP="00F50D6E">
            <w:pPr>
              <w:rPr>
                <w:lang w:val="en-GB"/>
              </w:rPr>
            </w:pPr>
            <w:r w:rsidRPr="0083254F">
              <w:rPr>
                <w:b/>
                <w:lang w:val="en-GB"/>
              </w:rPr>
              <w:t>Approach to the indicator</w:t>
            </w:r>
            <w:r w:rsidR="004A3BD8">
              <w:rPr>
                <w:b/>
                <w:lang w:val="en-GB"/>
              </w:rPr>
              <w:t xml:space="preserve"> (incremental)</w:t>
            </w:r>
            <w:r w:rsidRPr="0083254F">
              <w:rPr>
                <w:b/>
                <w:lang w:val="en-GB"/>
              </w:rPr>
              <w:t>:</w:t>
            </w:r>
            <w:r w:rsidRPr="0083254F">
              <w:rPr>
                <w:lang w:val="en-GB"/>
              </w:rPr>
              <w:t xml:space="preserve"> </w:t>
            </w:r>
            <w:r w:rsidR="006977EB" w:rsidRPr="0083254F">
              <w:rPr>
                <w:lang w:val="en-GB"/>
              </w:rPr>
              <w:t xml:space="preserve">Partners are divided by </w:t>
            </w:r>
            <w:r w:rsidR="00E05F4E">
              <w:rPr>
                <w:lang w:val="en-GB"/>
              </w:rPr>
              <w:t>Financial Inclusion (FI) and Local Development Finance (LD) partners</w:t>
            </w:r>
            <w:r w:rsidR="006977EB" w:rsidRPr="0083254F">
              <w:rPr>
                <w:lang w:val="en-GB"/>
              </w:rPr>
              <w:t>. Finance mechanisms are divided between grants, loans, guarantees and technical assistance agreements.</w:t>
            </w:r>
            <w:r w:rsidR="004312D4">
              <w:rPr>
                <w:lang w:val="en-GB"/>
              </w:rPr>
              <w:t xml:space="preserve"> Pipeline origination reports on sectors and/or institutions that developed the investment pipeline. </w:t>
            </w:r>
          </w:p>
        </w:tc>
      </w:tr>
      <w:tr w:rsidR="00007776" w:rsidRPr="0083254F" w14:paraId="492144FF" w14:textId="77777777" w:rsidTr="006977EB">
        <w:tc>
          <w:tcPr>
            <w:tcW w:w="533" w:type="dxa"/>
            <w:vMerge w:val="restart"/>
          </w:tcPr>
          <w:p w14:paraId="78C91484" w14:textId="77777777" w:rsidR="00007776" w:rsidRPr="0083254F" w:rsidRDefault="006977EB" w:rsidP="00F50D6E">
            <w:pPr>
              <w:rPr>
                <w:lang w:val="en-GB"/>
              </w:rPr>
            </w:pPr>
            <w:r w:rsidRPr="0083254F">
              <w:rPr>
                <w:lang w:val="en-GB"/>
              </w:rPr>
              <w:t>1.1.2</w:t>
            </w:r>
          </w:p>
        </w:tc>
        <w:tc>
          <w:tcPr>
            <w:tcW w:w="6162" w:type="dxa"/>
          </w:tcPr>
          <w:p w14:paraId="5524F1EE" w14:textId="6DF1AA48" w:rsidR="00007776" w:rsidRPr="0083254F" w:rsidRDefault="00FA5E9F" w:rsidP="00F50D6E">
            <w:pPr>
              <w:tabs>
                <w:tab w:val="left" w:pos="2278"/>
              </w:tabs>
              <w:rPr>
                <w:lang w:val="en-GB"/>
              </w:rPr>
            </w:pPr>
            <w:r>
              <w:rPr>
                <w:lang w:val="en-GB"/>
              </w:rPr>
              <w:t>P</w:t>
            </w:r>
            <w:r w:rsidR="006977EB" w:rsidRPr="0083254F">
              <w:rPr>
                <w:lang w:val="en-GB"/>
              </w:rPr>
              <w:t>erformance rate</w:t>
            </w:r>
            <w:r w:rsidR="006B522B">
              <w:rPr>
                <w:lang w:val="en-GB"/>
              </w:rPr>
              <w:t xml:space="preserve"> of</w:t>
            </w:r>
            <w:r w:rsidR="006977EB" w:rsidRPr="0083254F">
              <w:rPr>
                <w:lang w:val="en-GB"/>
              </w:rPr>
              <w:t xml:space="preserve"> UNCDF investments disaggregated by finance mechanism</w:t>
            </w:r>
          </w:p>
        </w:tc>
        <w:tc>
          <w:tcPr>
            <w:tcW w:w="1251" w:type="dxa"/>
          </w:tcPr>
          <w:p w14:paraId="5A2CBFB1" w14:textId="00ABC3FD" w:rsidR="00007776" w:rsidRDefault="00C6266F" w:rsidP="00F50D6E">
            <w:pPr>
              <w:rPr>
                <w:lang w:val="en-GB"/>
              </w:rPr>
            </w:pPr>
            <w:r>
              <w:rPr>
                <w:lang w:val="en-GB"/>
              </w:rPr>
              <w:t>a) Grants: 97%</w:t>
            </w:r>
          </w:p>
          <w:p w14:paraId="0562198C" w14:textId="50C79E9A" w:rsidR="00E05F4E" w:rsidRPr="0083254F" w:rsidRDefault="00E05F4E" w:rsidP="00F50D6E">
            <w:pPr>
              <w:rPr>
                <w:lang w:val="en-GB"/>
              </w:rPr>
            </w:pPr>
            <w:r>
              <w:rPr>
                <w:lang w:val="en-GB"/>
              </w:rPr>
              <w:t>b) Loan &amp; Guarantees: NA</w:t>
            </w:r>
          </w:p>
        </w:tc>
        <w:tc>
          <w:tcPr>
            <w:tcW w:w="1251" w:type="dxa"/>
          </w:tcPr>
          <w:p w14:paraId="2D9A641A" w14:textId="77777777" w:rsidR="00007776" w:rsidRDefault="00E05F4E" w:rsidP="00F50D6E">
            <w:pPr>
              <w:rPr>
                <w:lang w:val="en-GB"/>
              </w:rPr>
            </w:pPr>
            <w:r>
              <w:rPr>
                <w:lang w:val="en-GB"/>
              </w:rPr>
              <w:t>a) 95%</w:t>
            </w:r>
          </w:p>
          <w:p w14:paraId="1F7ABA6C" w14:textId="5E7FEC4D" w:rsidR="00E05F4E" w:rsidRPr="0083254F" w:rsidRDefault="00E05F4E" w:rsidP="00F50D6E">
            <w:pPr>
              <w:rPr>
                <w:lang w:val="en-GB"/>
              </w:rPr>
            </w:pPr>
            <w:r>
              <w:rPr>
                <w:lang w:val="en-GB"/>
              </w:rPr>
              <w:t>b) 95%</w:t>
            </w:r>
          </w:p>
        </w:tc>
        <w:tc>
          <w:tcPr>
            <w:tcW w:w="1251" w:type="dxa"/>
          </w:tcPr>
          <w:p w14:paraId="14F55665" w14:textId="77777777" w:rsidR="00E05F4E" w:rsidRDefault="00E05F4E" w:rsidP="00E05F4E">
            <w:pPr>
              <w:rPr>
                <w:lang w:val="en-GB"/>
              </w:rPr>
            </w:pPr>
            <w:r>
              <w:rPr>
                <w:lang w:val="en-GB"/>
              </w:rPr>
              <w:t>a) 95%</w:t>
            </w:r>
          </w:p>
          <w:p w14:paraId="424E7B4E" w14:textId="23000C60" w:rsidR="00007776" w:rsidRPr="0083254F" w:rsidRDefault="00E05F4E" w:rsidP="00E05F4E">
            <w:pPr>
              <w:rPr>
                <w:lang w:val="en-GB"/>
              </w:rPr>
            </w:pPr>
            <w:r>
              <w:rPr>
                <w:lang w:val="en-GB"/>
              </w:rPr>
              <w:t>b) 95%</w:t>
            </w:r>
          </w:p>
        </w:tc>
        <w:tc>
          <w:tcPr>
            <w:tcW w:w="1251" w:type="dxa"/>
          </w:tcPr>
          <w:p w14:paraId="50EFA43A" w14:textId="77777777" w:rsidR="00E05F4E" w:rsidRDefault="00E05F4E" w:rsidP="00E05F4E">
            <w:pPr>
              <w:rPr>
                <w:lang w:val="en-GB"/>
              </w:rPr>
            </w:pPr>
            <w:r>
              <w:rPr>
                <w:lang w:val="en-GB"/>
              </w:rPr>
              <w:t>a) 95%</w:t>
            </w:r>
          </w:p>
          <w:p w14:paraId="57DD3068" w14:textId="147C38D6" w:rsidR="00007776" w:rsidRPr="0083254F" w:rsidRDefault="00E05F4E" w:rsidP="00E05F4E">
            <w:pPr>
              <w:rPr>
                <w:lang w:val="en-GB"/>
              </w:rPr>
            </w:pPr>
            <w:r>
              <w:rPr>
                <w:lang w:val="en-GB"/>
              </w:rPr>
              <w:t>b) 95%</w:t>
            </w:r>
          </w:p>
        </w:tc>
        <w:tc>
          <w:tcPr>
            <w:tcW w:w="1251" w:type="dxa"/>
          </w:tcPr>
          <w:p w14:paraId="36FDE118" w14:textId="77777777" w:rsidR="00E05F4E" w:rsidRDefault="00E05F4E" w:rsidP="00E05F4E">
            <w:pPr>
              <w:rPr>
                <w:lang w:val="en-GB"/>
              </w:rPr>
            </w:pPr>
            <w:r>
              <w:rPr>
                <w:lang w:val="en-GB"/>
              </w:rPr>
              <w:t>a) 95%</w:t>
            </w:r>
          </w:p>
          <w:p w14:paraId="5B96F426" w14:textId="44B11C73" w:rsidR="00007776" w:rsidRPr="0083254F" w:rsidRDefault="00E05F4E" w:rsidP="00E05F4E">
            <w:pPr>
              <w:rPr>
                <w:lang w:val="en-GB"/>
              </w:rPr>
            </w:pPr>
            <w:r>
              <w:rPr>
                <w:lang w:val="en-GB"/>
              </w:rPr>
              <w:t>b) 95%</w:t>
            </w:r>
          </w:p>
        </w:tc>
      </w:tr>
      <w:tr w:rsidR="00007776" w:rsidRPr="0083254F" w14:paraId="5110B918" w14:textId="77777777" w:rsidTr="006977EB">
        <w:tc>
          <w:tcPr>
            <w:tcW w:w="533" w:type="dxa"/>
            <w:vMerge/>
          </w:tcPr>
          <w:p w14:paraId="1C60D9C2" w14:textId="77777777" w:rsidR="00007776" w:rsidRPr="0083254F" w:rsidRDefault="00007776" w:rsidP="00F50D6E">
            <w:pPr>
              <w:rPr>
                <w:lang w:val="en-GB"/>
              </w:rPr>
            </w:pPr>
          </w:p>
        </w:tc>
        <w:tc>
          <w:tcPr>
            <w:tcW w:w="12417" w:type="dxa"/>
            <w:gridSpan w:val="6"/>
            <w:shd w:val="clear" w:color="auto" w:fill="D0CECE" w:themeFill="background2" w:themeFillShade="E6"/>
          </w:tcPr>
          <w:p w14:paraId="4A8EA943" w14:textId="77777777" w:rsidR="00007776" w:rsidRPr="0083254F" w:rsidRDefault="00007776" w:rsidP="00F50D6E">
            <w:pPr>
              <w:rPr>
                <w:lang w:val="en-GB"/>
              </w:rPr>
            </w:pPr>
            <w:r w:rsidRPr="0083254F">
              <w:rPr>
                <w:b/>
                <w:lang w:val="en-GB"/>
              </w:rPr>
              <w:t>Related UNCDF IRRM 2014-2017 indicator:</w:t>
            </w:r>
            <w:r w:rsidRPr="0083254F">
              <w:rPr>
                <w:lang w:val="en-GB"/>
              </w:rPr>
              <w:t xml:space="preserve"> </w:t>
            </w:r>
            <w:r w:rsidR="006977EB" w:rsidRPr="0083254F">
              <w:rPr>
                <w:lang w:val="en-GB"/>
              </w:rPr>
              <w:t>New</w:t>
            </w:r>
          </w:p>
          <w:p w14:paraId="5E005B9C" w14:textId="77777777" w:rsidR="00007776" w:rsidRPr="0083254F" w:rsidRDefault="00007776" w:rsidP="00F50D6E">
            <w:pPr>
              <w:rPr>
                <w:lang w:val="en-GB"/>
              </w:rPr>
            </w:pPr>
            <w:r w:rsidRPr="0083254F">
              <w:rPr>
                <w:b/>
                <w:lang w:val="en-GB"/>
              </w:rPr>
              <w:t xml:space="preserve">Data source: </w:t>
            </w:r>
            <w:r w:rsidR="006977EB" w:rsidRPr="0083254F">
              <w:rPr>
                <w:lang w:val="en-GB"/>
              </w:rPr>
              <w:t>Corporate finance report, Project reports</w:t>
            </w:r>
          </w:p>
          <w:p w14:paraId="4EC75B91" w14:textId="7805DAAB" w:rsidR="00007776" w:rsidRPr="0083254F" w:rsidRDefault="00007776" w:rsidP="00F50D6E">
            <w:pPr>
              <w:rPr>
                <w:lang w:val="en-GB"/>
              </w:rPr>
            </w:pPr>
            <w:r w:rsidRPr="0083254F">
              <w:rPr>
                <w:b/>
                <w:lang w:val="en-GB"/>
              </w:rPr>
              <w:t>Approach to the indicator</w:t>
            </w:r>
            <w:r w:rsidR="004A3BD8">
              <w:rPr>
                <w:b/>
                <w:lang w:val="en-GB"/>
              </w:rPr>
              <w:t xml:space="preserve"> (incremental)</w:t>
            </w:r>
            <w:r w:rsidRPr="0083254F">
              <w:rPr>
                <w:b/>
                <w:lang w:val="en-GB"/>
              </w:rPr>
              <w:t xml:space="preserve">: </w:t>
            </w:r>
            <w:r w:rsidR="006977EB" w:rsidRPr="0083254F">
              <w:rPr>
                <w:lang w:val="en-GB"/>
              </w:rPr>
              <w:t>Finance mechanisms are divided between grants, loans</w:t>
            </w:r>
            <w:r w:rsidR="00E05F4E">
              <w:rPr>
                <w:lang w:val="en-GB"/>
              </w:rPr>
              <w:t xml:space="preserve"> and </w:t>
            </w:r>
            <w:r w:rsidR="006977EB" w:rsidRPr="0083254F">
              <w:rPr>
                <w:lang w:val="en-GB"/>
              </w:rPr>
              <w:t xml:space="preserve">guarantees. Performance rates refer to percentage of Performance-Based Agreement (PBA) grants reapproved without </w:t>
            </w:r>
            <w:r w:rsidR="00E05F4E">
              <w:rPr>
                <w:lang w:val="en-GB"/>
              </w:rPr>
              <w:t>termination</w:t>
            </w:r>
            <w:r w:rsidR="006977EB" w:rsidRPr="0083254F">
              <w:rPr>
                <w:lang w:val="en-GB"/>
              </w:rPr>
              <w:t xml:space="preserve">; repayment rates of loans; fees and interest payment rates of guarantees </w:t>
            </w:r>
          </w:p>
        </w:tc>
      </w:tr>
      <w:tr w:rsidR="00292057" w:rsidRPr="0083254F" w14:paraId="3EB055BB" w14:textId="77777777" w:rsidTr="006977EB">
        <w:tc>
          <w:tcPr>
            <w:tcW w:w="533" w:type="dxa"/>
            <w:vMerge w:val="restart"/>
          </w:tcPr>
          <w:p w14:paraId="0999AB62" w14:textId="6B1E7EF2" w:rsidR="00292057" w:rsidRPr="0083254F" w:rsidRDefault="00292057" w:rsidP="00292057">
            <w:pPr>
              <w:rPr>
                <w:lang w:val="en-GB"/>
              </w:rPr>
            </w:pPr>
            <w:bookmarkStart w:id="3" w:name="_Hlk499540427"/>
            <w:r>
              <w:rPr>
                <w:lang w:val="en-GB"/>
              </w:rPr>
              <w:t>1.1.</w:t>
            </w:r>
            <w:r w:rsidR="00477BE3">
              <w:rPr>
                <w:lang w:val="en-GB"/>
              </w:rPr>
              <w:t>3</w:t>
            </w:r>
          </w:p>
        </w:tc>
        <w:tc>
          <w:tcPr>
            <w:tcW w:w="6162" w:type="dxa"/>
          </w:tcPr>
          <w:p w14:paraId="67508406" w14:textId="08014AED" w:rsidR="00292057" w:rsidRPr="0083254F" w:rsidRDefault="00EF3A2C" w:rsidP="00292057">
            <w:pPr>
              <w:rPr>
                <w:lang w:val="en-GB"/>
              </w:rPr>
            </w:pPr>
            <w:r>
              <w:rPr>
                <w:lang w:val="en-GB"/>
              </w:rPr>
              <w:t>N</w:t>
            </w:r>
            <w:r w:rsidR="0087176C">
              <w:rPr>
                <w:lang w:val="en-GB"/>
              </w:rPr>
              <w:t>umber</w:t>
            </w:r>
            <w:r w:rsidR="00FA5E9F" w:rsidRPr="0083254F">
              <w:rPr>
                <w:lang w:val="en-GB"/>
              </w:rPr>
              <w:t xml:space="preserve"> of local blended finance </w:t>
            </w:r>
            <w:r w:rsidR="001A4EBC">
              <w:rPr>
                <w:lang w:val="en-GB"/>
              </w:rPr>
              <w:t xml:space="preserve">projects that are </w:t>
            </w:r>
            <w:r w:rsidR="00FA5E9F">
              <w:rPr>
                <w:lang w:val="en-GB"/>
              </w:rPr>
              <w:t>a) investment-ready, b</w:t>
            </w:r>
            <w:r w:rsidR="00FA5E9F" w:rsidRPr="0083254F">
              <w:rPr>
                <w:lang w:val="en-GB"/>
              </w:rPr>
              <w:t xml:space="preserve">) </w:t>
            </w:r>
            <w:r w:rsidR="001A4EBC">
              <w:rPr>
                <w:lang w:val="en-GB"/>
              </w:rPr>
              <w:t>received</w:t>
            </w:r>
            <w:r>
              <w:rPr>
                <w:lang w:val="en-GB"/>
              </w:rPr>
              <w:t xml:space="preserve"> initial offers from </w:t>
            </w:r>
            <w:r w:rsidR="001A4EBC">
              <w:rPr>
                <w:lang w:val="en-GB"/>
              </w:rPr>
              <w:t xml:space="preserve">an </w:t>
            </w:r>
            <w:r>
              <w:rPr>
                <w:lang w:val="en-GB"/>
              </w:rPr>
              <w:t>investor</w:t>
            </w:r>
            <w:r w:rsidR="00FA5E9F" w:rsidRPr="0083254F">
              <w:rPr>
                <w:lang w:val="en-GB"/>
              </w:rPr>
              <w:t xml:space="preserve"> and </w:t>
            </w:r>
            <w:r w:rsidR="00A814B4">
              <w:rPr>
                <w:lang w:val="en-GB"/>
              </w:rPr>
              <w:t>c</w:t>
            </w:r>
            <w:r w:rsidR="00FA5E9F" w:rsidRPr="0083254F">
              <w:rPr>
                <w:lang w:val="en-GB"/>
              </w:rPr>
              <w:t xml:space="preserve">) </w:t>
            </w:r>
            <w:r w:rsidR="001A4EBC">
              <w:rPr>
                <w:lang w:val="en-GB"/>
              </w:rPr>
              <w:t xml:space="preserve">reached </w:t>
            </w:r>
            <w:r w:rsidR="001A4EBC">
              <w:rPr>
                <w:lang w:val="en-GB"/>
              </w:rPr>
              <w:lastRenderedPageBreak/>
              <w:t xml:space="preserve">initial </w:t>
            </w:r>
            <w:r w:rsidR="00016E21">
              <w:rPr>
                <w:lang w:val="en-GB"/>
              </w:rPr>
              <w:t xml:space="preserve">fund disbursement. </w:t>
            </w:r>
          </w:p>
        </w:tc>
        <w:tc>
          <w:tcPr>
            <w:tcW w:w="1251" w:type="dxa"/>
          </w:tcPr>
          <w:p w14:paraId="16E5C794" w14:textId="3533E9B9" w:rsidR="00292057" w:rsidRPr="0083254F" w:rsidRDefault="00292057" w:rsidP="00292057">
            <w:pPr>
              <w:rPr>
                <w:lang w:val="en-GB"/>
              </w:rPr>
            </w:pPr>
            <w:r w:rsidRPr="0083254F">
              <w:rPr>
                <w:lang w:val="en-GB"/>
              </w:rPr>
              <w:lastRenderedPageBreak/>
              <w:t>a)</w:t>
            </w:r>
            <w:r w:rsidR="00C666C2">
              <w:rPr>
                <w:lang w:val="en-GB"/>
              </w:rPr>
              <w:t xml:space="preserve"> 20</w:t>
            </w:r>
          </w:p>
          <w:p w14:paraId="4A1BC46A" w14:textId="6503DEE8" w:rsidR="00292057" w:rsidRDefault="00292057" w:rsidP="00292057">
            <w:pPr>
              <w:rPr>
                <w:lang w:val="en-GB"/>
              </w:rPr>
            </w:pPr>
            <w:r w:rsidRPr="0083254F">
              <w:rPr>
                <w:lang w:val="en-GB"/>
              </w:rPr>
              <w:t>b)</w:t>
            </w:r>
            <w:r w:rsidR="00C666C2">
              <w:rPr>
                <w:lang w:val="en-GB"/>
              </w:rPr>
              <w:t xml:space="preserve"> 9</w:t>
            </w:r>
          </w:p>
          <w:p w14:paraId="082633BD" w14:textId="3F23F636" w:rsidR="000C0F48" w:rsidRPr="0083254F" w:rsidRDefault="000C0F48" w:rsidP="00292057">
            <w:pPr>
              <w:rPr>
                <w:lang w:val="en-GB"/>
              </w:rPr>
            </w:pPr>
            <w:r>
              <w:rPr>
                <w:lang w:val="en-GB"/>
              </w:rPr>
              <w:lastRenderedPageBreak/>
              <w:t>c)</w:t>
            </w:r>
            <w:r w:rsidR="00C666C2">
              <w:rPr>
                <w:lang w:val="en-GB"/>
              </w:rPr>
              <w:t xml:space="preserve"> 5</w:t>
            </w:r>
          </w:p>
        </w:tc>
        <w:tc>
          <w:tcPr>
            <w:tcW w:w="1251" w:type="dxa"/>
          </w:tcPr>
          <w:p w14:paraId="4C9AF8A6" w14:textId="141D389A" w:rsidR="000C0F48" w:rsidRPr="0083254F" w:rsidRDefault="000C0F48" w:rsidP="000C0F48">
            <w:pPr>
              <w:rPr>
                <w:lang w:val="en-GB"/>
              </w:rPr>
            </w:pPr>
            <w:r w:rsidRPr="0083254F">
              <w:rPr>
                <w:lang w:val="en-GB"/>
              </w:rPr>
              <w:lastRenderedPageBreak/>
              <w:t>a)</w:t>
            </w:r>
            <w:r w:rsidR="00C666C2">
              <w:rPr>
                <w:lang w:val="en-GB"/>
              </w:rPr>
              <w:t xml:space="preserve"> 30</w:t>
            </w:r>
          </w:p>
          <w:p w14:paraId="7041D118" w14:textId="6A170586" w:rsidR="000C0F48" w:rsidRDefault="000C0F48" w:rsidP="000C0F48">
            <w:pPr>
              <w:rPr>
                <w:lang w:val="en-GB"/>
              </w:rPr>
            </w:pPr>
            <w:r w:rsidRPr="0083254F">
              <w:rPr>
                <w:lang w:val="en-GB"/>
              </w:rPr>
              <w:t>b)</w:t>
            </w:r>
            <w:r w:rsidR="00C666C2">
              <w:rPr>
                <w:lang w:val="en-GB"/>
              </w:rPr>
              <w:t xml:space="preserve"> 15</w:t>
            </w:r>
          </w:p>
          <w:p w14:paraId="363A6C9F" w14:textId="49087655" w:rsidR="00292057" w:rsidRPr="0083254F" w:rsidRDefault="000C0F48" w:rsidP="00292057">
            <w:pPr>
              <w:rPr>
                <w:lang w:val="en-GB"/>
              </w:rPr>
            </w:pPr>
            <w:r>
              <w:rPr>
                <w:lang w:val="en-GB"/>
              </w:rPr>
              <w:lastRenderedPageBreak/>
              <w:t>c)</w:t>
            </w:r>
            <w:r w:rsidR="00C666C2">
              <w:rPr>
                <w:lang w:val="en-GB"/>
              </w:rPr>
              <w:t xml:space="preserve"> 10</w:t>
            </w:r>
          </w:p>
        </w:tc>
        <w:tc>
          <w:tcPr>
            <w:tcW w:w="1251" w:type="dxa"/>
          </w:tcPr>
          <w:p w14:paraId="266C825C" w14:textId="269B9D3C" w:rsidR="000C0F48" w:rsidRPr="0083254F" w:rsidRDefault="000C0F48" w:rsidP="000C0F48">
            <w:pPr>
              <w:rPr>
                <w:lang w:val="en-GB"/>
              </w:rPr>
            </w:pPr>
            <w:r w:rsidRPr="0083254F">
              <w:rPr>
                <w:lang w:val="en-GB"/>
              </w:rPr>
              <w:lastRenderedPageBreak/>
              <w:t>a)</w:t>
            </w:r>
            <w:r w:rsidR="00C666C2">
              <w:rPr>
                <w:lang w:val="en-GB"/>
              </w:rPr>
              <w:t xml:space="preserve"> 40</w:t>
            </w:r>
          </w:p>
          <w:p w14:paraId="2BD1C164" w14:textId="4C97D881" w:rsidR="000C0F48" w:rsidRDefault="000C0F48" w:rsidP="000C0F48">
            <w:pPr>
              <w:rPr>
                <w:lang w:val="en-GB"/>
              </w:rPr>
            </w:pPr>
            <w:r w:rsidRPr="0083254F">
              <w:rPr>
                <w:lang w:val="en-GB"/>
              </w:rPr>
              <w:t>b)</w:t>
            </w:r>
            <w:r w:rsidR="00C666C2">
              <w:rPr>
                <w:lang w:val="en-GB"/>
              </w:rPr>
              <w:t xml:space="preserve"> 20</w:t>
            </w:r>
          </w:p>
          <w:p w14:paraId="30DF8037" w14:textId="4D49643F" w:rsidR="00292057" w:rsidRPr="0083254F" w:rsidRDefault="000C0F48" w:rsidP="00292057">
            <w:pPr>
              <w:rPr>
                <w:lang w:val="en-GB"/>
              </w:rPr>
            </w:pPr>
            <w:r>
              <w:rPr>
                <w:lang w:val="en-GB"/>
              </w:rPr>
              <w:lastRenderedPageBreak/>
              <w:t>c)</w:t>
            </w:r>
            <w:r w:rsidR="00C666C2">
              <w:rPr>
                <w:lang w:val="en-GB"/>
              </w:rPr>
              <w:t xml:space="preserve"> 14</w:t>
            </w:r>
          </w:p>
        </w:tc>
        <w:tc>
          <w:tcPr>
            <w:tcW w:w="1251" w:type="dxa"/>
          </w:tcPr>
          <w:p w14:paraId="17A247F3" w14:textId="00B434BC" w:rsidR="000C0F48" w:rsidRPr="0083254F" w:rsidRDefault="000C0F48" w:rsidP="000C0F48">
            <w:pPr>
              <w:rPr>
                <w:lang w:val="en-GB"/>
              </w:rPr>
            </w:pPr>
            <w:r w:rsidRPr="0083254F">
              <w:rPr>
                <w:lang w:val="en-GB"/>
              </w:rPr>
              <w:lastRenderedPageBreak/>
              <w:t>a)</w:t>
            </w:r>
            <w:r w:rsidR="00C666C2">
              <w:rPr>
                <w:lang w:val="en-GB"/>
              </w:rPr>
              <w:t xml:space="preserve"> 45</w:t>
            </w:r>
          </w:p>
          <w:p w14:paraId="47AEFF15" w14:textId="11DD80E9" w:rsidR="000C0F48" w:rsidRDefault="000C0F48" w:rsidP="000C0F48">
            <w:pPr>
              <w:rPr>
                <w:lang w:val="en-GB"/>
              </w:rPr>
            </w:pPr>
            <w:r w:rsidRPr="0083254F">
              <w:rPr>
                <w:lang w:val="en-GB"/>
              </w:rPr>
              <w:t>b)</w:t>
            </w:r>
            <w:r w:rsidR="00C666C2">
              <w:rPr>
                <w:lang w:val="en-GB"/>
              </w:rPr>
              <w:t xml:space="preserve"> 22</w:t>
            </w:r>
          </w:p>
          <w:p w14:paraId="73D3A99D" w14:textId="6E1E18EB" w:rsidR="00292057" w:rsidRPr="0083254F" w:rsidRDefault="000C0F48" w:rsidP="00292057">
            <w:pPr>
              <w:rPr>
                <w:lang w:val="en-GB"/>
              </w:rPr>
            </w:pPr>
            <w:r>
              <w:rPr>
                <w:lang w:val="en-GB"/>
              </w:rPr>
              <w:lastRenderedPageBreak/>
              <w:t>c)</w:t>
            </w:r>
            <w:r w:rsidR="00C666C2">
              <w:rPr>
                <w:lang w:val="en-GB"/>
              </w:rPr>
              <w:t xml:space="preserve"> 16</w:t>
            </w:r>
          </w:p>
        </w:tc>
        <w:tc>
          <w:tcPr>
            <w:tcW w:w="1251" w:type="dxa"/>
          </w:tcPr>
          <w:p w14:paraId="4B2F864B" w14:textId="6C339980" w:rsidR="000C0F48" w:rsidRPr="0083254F" w:rsidRDefault="000C0F48" w:rsidP="000C0F48">
            <w:pPr>
              <w:rPr>
                <w:lang w:val="en-GB"/>
              </w:rPr>
            </w:pPr>
            <w:r w:rsidRPr="0083254F">
              <w:rPr>
                <w:lang w:val="en-GB"/>
              </w:rPr>
              <w:lastRenderedPageBreak/>
              <w:t>a)</w:t>
            </w:r>
            <w:r w:rsidR="00C666C2">
              <w:rPr>
                <w:lang w:val="en-GB"/>
              </w:rPr>
              <w:t xml:space="preserve"> 45</w:t>
            </w:r>
          </w:p>
          <w:p w14:paraId="793FD424" w14:textId="6F30BC52" w:rsidR="000C0F48" w:rsidRDefault="000C0F48" w:rsidP="000C0F48">
            <w:pPr>
              <w:rPr>
                <w:lang w:val="en-GB"/>
              </w:rPr>
            </w:pPr>
            <w:r w:rsidRPr="0083254F">
              <w:rPr>
                <w:lang w:val="en-GB"/>
              </w:rPr>
              <w:t>b)</w:t>
            </w:r>
            <w:r w:rsidR="00C666C2">
              <w:rPr>
                <w:lang w:val="en-GB"/>
              </w:rPr>
              <w:t xml:space="preserve"> 25</w:t>
            </w:r>
          </w:p>
          <w:p w14:paraId="2E84FB7A" w14:textId="5908F856" w:rsidR="00292057" w:rsidRPr="0083254F" w:rsidRDefault="000C0F48" w:rsidP="00292057">
            <w:pPr>
              <w:rPr>
                <w:lang w:val="en-GB"/>
              </w:rPr>
            </w:pPr>
            <w:r>
              <w:rPr>
                <w:lang w:val="en-GB"/>
              </w:rPr>
              <w:lastRenderedPageBreak/>
              <w:t>c)</w:t>
            </w:r>
            <w:r w:rsidR="00C666C2">
              <w:rPr>
                <w:lang w:val="en-GB"/>
              </w:rPr>
              <w:t xml:space="preserve"> 18</w:t>
            </w:r>
          </w:p>
        </w:tc>
      </w:tr>
      <w:bookmarkEnd w:id="3"/>
      <w:tr w:rsidR="00292057" w:rsidRPr="0083254F" w14:paraId="356D2541" w14:textId="77777777" w:rsidTr="00292057">
        <w:tc>
          <w:tcPr>
            <w:tcW w:w="533" w:type="dxa"/>
            <w:vMerge/>
          </w:tcPr>
          <w:p w14:paraId="0DD5BBAE" w14:textId="77777777" w:rsidR="00292057" w:rsidRPr="0083254F" w:rsidRDefault="00292057" w:rsidP="00292057">
            <w:pPr>
              <w:rPr>
                <w:lang w:val="en-GB"/>
              </w:rPr>
            </w:pPr>
          </w:p>
        </w:tc>
        <w:tc>
          <w:tcPr>
            <w:tcW w:w="12417" w:type="dxa"/>
            <w:gridSpan w:val="6"/>
            <w:shd w:val="clear" w:color="auto" w:fill="BFBFBF" w:themeFill="background1" w:themeFillShade="BF"/>
          </w:tcPr>
          <w:p w14:paraId="5B8DC665" w14:textId="77777777" w:rsidR="00292057" w:rsidRPr="0083254F" w:rsidRDefault="00292057" w:rsidP="00292057">
            <w:pPr>
              <w:rPr>
                <w:lang w:val="en-GB"/>
              </w:rPr>
            </w:pPr>
            <w:r w:rsidRPr="0083254F">
              <w:rPr>
                <w:b/>
                <w:lang w:val="en-GB"/>
              </w:rPr>
              <w:t>Related UNCDF IRRM 2014-2017 indicator:</w:t>
            </w:r>
            <w:r w:rsidRPr="0083254F">
              <w:rPr>
                <w:lang w:val="en-GB"/>
              </w:rPr>
              <w:t xml:space="preserve"> New </w:t>
            </w:r>
          </w:p>
          <w:p w14:paraId="6900F5C4" w14:textId="77777777" w:rsidR="00292057" w:rsidRPr="0083254F" w:rsidRDefault="00292057" w:rsidP="00292057">
            <w:pPr>
              <w:rPr>
                <w:lang w:val="en-GB"/>
              </w:rPr>
            </w:pPr>
            <w:r w:rsidRPr="0083254F">
              <w:rPr>
                <w:b/>
                <w:lang w:val="en-GB"/>
              </w:rPr>
              <w:t xml:space="preserve">Data source: </w:t>
            </w:r>
            <w:r w:rsidRPr="0083254F">
              <w:rPr>
                <w:lang w:val="en-GB"/>
              </w:rPr>
              <w:t>Project reports</w:t>
            </w:r>
          </w:p>
          <w:p w14:paraId="64E161AD" w14:textId="612FA23E" w:rsidR="00292057" w:rsidRPr="0083254F" w:rsidRDefault="00292057" w:rsidP="00292057">
            <w:pPr>
              <w:rPr>
                <w:lang w:val="en-GB"/>
              </w:rPr>
            </w:pPr>
            <w:r w:rsidRPr="0083254F">
              <w:rPr>
                <w:b/>
                <w:lang w:val="en-GB"/>
              </w:rPr>
              <w:t>Approach to the indicator</w:t>
            </w:r>
            <w:r w:rsidR="004A3BD8">
              <w:rPr>
                <w:b/>
                <w:lang w:val="en-GB"/>
              </w:rPr>
              <w:t xml:space="preserve"> (cumulative)</w:t>
            </w:r>
            <w:r w:rsidRPr="0083254F">
              <w:rPr>
                <w:b/>
                <w:lang w:val="en-GB"/>
              </w:rPr>
              <w:t>:</w:t>
            </w:r>
            <w:r w:rsidRPr="0083254F">
              <w:rPr>
                <w:lang w:val="en-GB"/>
              </w:rPr>
              <w:t xml:space="preserve"> Local blended finance </w:t>
            </w:r>
            <w:r w:rsidR="00016E21">
              <w:rPr>
                <w:lang w:val="en-GB"/>
              </w:rPr>
              <w:t>projects</w:t>
            </w:r>
            <w:r w:rsidR="00016E21" w:rsidRPr="0083254F">
              <w:rPr>
                <w:lang w:val="en-GB"/>
              </w:rPr>
              <w:t xml:space="preserve"> </w:t>
            </w:r>
            <w:r w:rsidRPr="0083254F">
              <w:rPr>
                <w:lang w:val="en-GB"/>
              </w:rPr>
              <w:t xml:space="preserve">refers to ‘Local Finance Initiative (LFI)’ mechanism supporting local infrastructure and SMEs. </w:t>
            </w:r>
            <w:r w:rsidR="00FA5E9F">
              <w:rPr>
                <w:lang w:val="en-GB"/>
              </w:rPr>
              <w:t xml:space="preserve">‘Investment-ready’ refers to pipeline projects that completed initial technical preparation and are </w:t>
            </w:r>
            <w:r w:rsidR="00E457C5">
              <w:rPr>
                <w:lang w:val="en-GB"/>
              </w:rPr>
              <w:t>r</w:t>
            </w:r>
            <w:r w:rsidR="00FA5E9F">
              <w:rPr>
                <w:lang w:val="en-GB"/>
              </w:rPr>
              <w:t>eady to be presented to investors.</w:t>
            </w:r>
            <w:r w:rsidR="00FA5E9F" w:rsidRPr="0083254F">
              <w:rPr>
                <w:lang w:val="en-GB"/>
              </w:rPr>
              <w:t xml:space="preserve"> </w:t>
            </w:r>
            <w:r w:rsidR="00016E21">
              <w:rPr>
                <w:lang w:val="en-GB"/>
              </w:rPr>
              <w:t>‘Initial offer’</w:t>
            </w:r>
            <w:r w:rsidR="00FA5E9F" w:rsidRPr="0083254F">
              <w:rPr>
                <w:lang w:val="en-GB"/>
              </w:rPr>
              <w:t xml:space="preserve"> refers to pipelines receiving a loan</w:t>
            </w:r>
            <w:r w:rsidR="00016E21">
              <w:rPr>
                <w:lang w:val="en-GB"/>
              </w:rPr>
              <w:t xml:space="preserve"> or investment</w:t>
            </w:r>
            <w:r w:rsidR="00FA5E9F" w:rsidRPr="0083254F">
              <w:rPr>
                <w:lang w:val="en-GB"/>
              </w:rPr>
              <w:t xml:space="preserve"> agreement from </w:t>
            </w:r>
            <w:r w:rsidR="00FA5E9F">
              <w:rPr>
                <w:lang w:val="en-GB"/>
              </w:rPr>
              <w:t>an investor</w:t>
            </w:r>
            <w:r w:rsidR="00FA5E9F" w:rsidRPr="0083254F">
              <w:rPr>
                <w:lang w:val="en-GB"/>
              </w:rPr>
              <w:t xml:space="preserve">. ‘Initial fund disbursement’ refers to pipeline project receiving its first disbursement of funds from the </w:t>
            </w:r>
            <w:r w:rsidR="00FA5E9F">
              <w:rPr>
                <w:lang w:val="en-GB"/>
              </w:rPr>
              <w:t>investor</w:t>
            </w:r>
            <w:r w:rsidR="00FA5E9F" w:rsidRPr="0083254F">
              <w:rPr>
                <w:lang w:val="en-GB"/>
              </w:rPr>
              <w:t>.</w:t>
            </w:r>
          </w:p>
        </w:tc>
      </w:tr>
    </w:tbl>
    <w:p w14:paraId="373B0EAC" w14:textId="77777777" w:rsidR="00007776" w:rsidRPr="0083254F" w:rsidRDefault="00007776" w:rsidP="00007776">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645"/>
        <w:gridCol w:w="6106"/>
        <w:gridCol w:w="1243"/>
        <w:gridCol w:w="1239"/>
        <w:gridCol w:w="1239"/>
        <w:gridCol w:w="1239"/>
        <w:gridCol w:w="1239"/>
      </w:tblGrid>
      <w:tr w:rsidR="006977EB" w:rsidRPr="0083254F" w14:paraId="1BCC28E1" w14:textId="77777777" w:rsidTr="00F50D6E">
        <w:tc>
          <w:tcPr>
            <w:tcW w:w="12950" w:type="dxa"/>
            <w:gridSpan w:val="7"/>
            <w:shd w:val="clear" w:color="auto" w:fill="002060"/>
          </w:tcPr>
          <w:p w14:paraId="6FAEB113" w14:textId="77777777" w:rsidR="006977EB" w:rsidRPr="0083254F" w:rsidRDefault="006977EB" w:rsidP="00F50D6E">
            <w:pPr>
              <w:rPr>
                <w:b/>
                <w:color w:val="FFFF00"/>
                <w:sz w:val="24"/>
                <w:szCs w:val="24"/>
                <w:lang w:val="en-GB"/>
              </w:rPr>
            </w:pPr>
            <w:r w:rsidRPr="0083254F">
              <w:rPr>
                <w:b/>
                <w:color w:val="FFFF00"/>
                <w:sz w:val="24"/>
                <w:szCs w:val="24"/>
                <w:u w:val="single"/>
                <w:lang w:val="en-GB"/>
              </w:rPr>
              <w:t>Output 2:</w:t>
            </w:r>
            <w:r w:rsidRPr="0083254F">
              <w:rPr>
                <w:b/>
                <w:color w:val="FFFF00"/>
                <w:sz w:val="24"/>
                <w:szCs w:val="24"/>
                <w:lang w:val="en-GB"/>
              </w:rPr>
              <w:t xml:space="preserve">  </w:t>
            </w:r>
            <w:r w:rsidR="002E0810" w:rsidRPr="0083254F">
              <w:rPr>
                <w:b/>
                <w:color w:val="FFFF00"/>
                <w:sz w:val="24"/>
                <w:szCs w:val="24"/>
                <w:lang w:val="en-GB"/>
              </w:rPr>
              <w:t>Public and private partnerships leveraged and partner’s capacities built to develop inclusive financial markets and local development finance systems</w:t>
            </w:r>
          </w:p>
        </w:tc>
      </w:tr>
      <w:tr w:rsidR="006977EB" w:rsidRPr="0083254F" w14:paraId="4FB9CF06" w14:textId="77777777" w:rsidTr="0005016A">
        <w:tc>
          <w:tcPr>
            <w:tcW w:w="6751" w:type="dxa"/>
            <w:gridSpan w:val="2"/>
            <w:shd w:val="clear" w:color="auto" w:fill="F2F2F2" w:themeFill="background1" w:themeFillShade="F2"/>
          </w:tcPr>
          <w:p w14:paraId="024906B3" w14:textId="77777777" w:rsidR="006977EB" w:rsidRPr="0083254F" w:rsidRDefault="00310792" w:rsidP="00F50D6E">
            <w:pPr>
              <w:rPr>
                <w:b/>
                <w:lang w:val="en-GB"/>
              </w:rPr>
            </w:pPr>
            <w:r w:rsidRPr="0083254F">
              <w:rPr>
                <w:b/>
                <w:lang w:val="en-GB"/>
              </w:rPr>
              <w:t>Output</w:t>
            </w:r>
            <w:r w:rsidR="006977EB" w:rsidRPr="0083254F">
              <w:rPr>
                <w:b/>
                <w:lang w:val="en-GB"/>
              </w:rPr>
              <w:t xml:space="preserve"> indicators</w:t>
            </w:r>
          </w:p>
        </w:tc>
        <w:tc>
          <w:tcPr>
            <w:tcW w:w="1243" w:type="dxa"/>
            <w:shd w:val="clear" w:color="auto" w:fill="F2F2F2" w:themeFill="background1" w:themeFillShade="F2"/>
          </w:tcPr>
          <w:p w14:paraId="4692B507" w14:textId="77777777" w:rsidR="006977EB" w:rsidRPr="0083254F" w:rsidRDefault="006977EB" w:rsidP="00F50D6E">
            <w:pPr>
              <w:jc w:val="center"/>
              <w:rPr>
                <w:b/>
                <w:lang w:val="en-GB"/>
              </w:rPr>
            </w:pPr>
            <w:r w:rsidRPr="0083254F">
              <w:rPr>
                <w:b/>
                <w:lang w:val="en-GB"/>
              </w:rPr>
              <w:t>Baseline</w:t>
            </w:r>
          </w:p>
        </w:tc>
        <w:tc>
          <w:tcPr>
            <w:tcW w:w="1239" w:type="dxa"/>
            <w:shd w:val="clear" w:color="auto" w:fill="F2F2F2" w:themeFill="background1" w:themeFillShade="F2"/>
          </w:tcPr>
          <w:p w14:paraId="0537A9A3" w14:textId="77777777" w:rsidR="006977EB" w:rsidRPr="0083254F" w:rsidRDefault="006977EB" w:rsidP="00F50D6E">
            <w:pPr>
              <w:jc w:val="center"/>
              <w:rPr>
                <w:b/>
                <w:lang w:val="en-GB"/>
              </w:rPr>
            </w:pPr>
            <w:r w:rsidRPr="0083254F">
              <w:rPr>
                <w:b/>
                <w:lang w:val="en-GB"/>
              </w:rPr>
              <w:t>2018 Target</w:t>
            </w:r>
          </w:p>
        </w:tc>
        <w:tc>
          <w:tcPr>
            <w:tcW w:w="1239" w:type="dxa"/>
            <w:shd w:val="clear" w:color="auto" w:fill="F2F2F2" w:themeFill="background1" w:themeFillShade="F2"/>
          </w:tcPr>
          <w:p w14:paraId="43737F66" w14:textId="77777777" w:rsidR="006977EB" w:rsidRPr="0083254F" w:rsidRDefault="006977EB" w:rsidP="00F50D6E">
            <w:pPr>
              <w:jc w:val="center"/>
              <w:rPr>
                <w:b/>
                <w:lang w:val="en-GB"/>
              </w:rPr>
            </w:pPr>
            <w:r w:rsidRPr="0083254F">
              <w:rPr>
                <w:b/>
                <w:lang w:val="en-GB"/>
              </w:rPr>
              <w:t>2019 Target</w:t>
            </w:r>
          </w:p>
        </w:tc>
        <w:tc>
          <w:tcPr>
            <w:tcW w:w="1239" w:type="dxa"/>
            <w:shd w:val="clear" w:color="auto" w:fill="F2F2F2" w:themeFill="background1" w:themeFillShade="F2"/>
          </w:tcPr>
          <w:p w14:paraId="40EB33D6" w14:textId="77777777" w:rsidR="006977EB" w:rsidRPr="0083254F" w:rsidRDefault="006977EB" w:rsidP="00F50D6E">
            <w:pPr>
              <w:jc w:val="center"/>
              <w:rPr>
                <w:b/>
                <w:lang w:val="en-GB"/>
              </w:rPr>
            </w:pPr>
            <w:r w:rsidRPr="0083254F">
              <w:rPr>
                <w:b/>
                <w:lang w:val="en-GB"/>
              </w:rPr>
              <w:t>2020 Target</w:t>
            </w:r>
          </w:p>
        </w:tc>
        <w:tc>
          <w:tcPr>
            <w:tcW w:w="1239" w:type="dxa"/>
            <w:shd w:val="clear" w:color="auto" w:fill="F2F2F2" w:themeFill="background1" w:themeFillShade="F2"/>
          </w:tcPr>
          <w:p w14:paraId="1A307309" w14:textId="77777777" w:rsidR="006977EB" w:rsidRPr="0083254F" w:rsidRDefault="006977EB" w:rsidP="00F50D6E">
            <w:pPr>
              <w:jc w:val="center"/>
              <w:rPr>
                <w:b/>
                <w:lang w:val="en-GB"/>
              </w:rPr>
            </w:pPr>
            <w:r w:rsidRPr="0083254F">
              <w:rPr>
                <w:b/>
                <w:lang w:val="en-GB"/>
              </w:rPr>
              <w:t>2021 Target</w:t>
            </w:r>
          </w:p>
        </w:tc>
      </w:tr>
      <w:tr w:rsidR="006977EB" w:rsidRPr="0083254F" w14:paraId="1C1C8A49" w14:textId="77777777" w:rsidTr="0005016A">
        <w:tc>
          <w:tcPr>
            <w:tcW w:w="645" w:type="dxa"/>
            <w:vMerge w:val="restart"/>
          </w:tcPr>
          <w:p w14:paraId="26480035" w14:textId="77777777" w:rsidR="006977EB" w:rsidRPr="0083254F" w:rsidRDefault="006977EB" w:rsidP="00F50D6E">
            <w:pPr>
              <w:rPr>
                <w:lang w:val="en-GB"/>
              </w:rPr>
            </w:pPr>
            <w:bookmarkStart w:id="4" w:name="_Hlk499036430"/>
            <w:r w:rsidRPr="0083254F">
              <w:rPr>
                <w:lang w:val="en-GB"/>
              </w:rPr>
              <w:t>1.</w:t>
            </w:r>
            <w:r w:rsidR="002E0810" w:rsidRPr="0083254F">
              <w:rPr>
                <w:lang w:val="en-GB"/>
              </w:rPr>
              <w:t>2</w:t>
            </w:r>
            <w:r w:rsidRPr="0083254F">
              <w:rPr>
                <w:lang w:val="en-GB"/>
              </w:rPr>
              <w:t>.1</w:t>
            </w:r>
          </w:p>
        </w:tc>
        <w:tc>
          <w:tcPr>
            <w:tcW w:w="6106" w:type="dxa"/>
          </w:tcPr>
          <w:p w14:paraId="333CC1BA" w14:textId="26C6D8D3" w:rsidR="006977EB" w:rsidRPr="0083254F" w:rsidRDefault="00E24945" w:rsidP="00F50D6E">
            <w:pPr>
              <w:rPr>
                <w:lang w:val="en-GB"/>
              </w:rPr>
            </w:pPr>
            <w:r w:rsidRPr="0083254F">
              <w:rPr>
                <w:lang w:val="en-GB"/>
              </w:rPr>
              <w:t xml:space="preserve">UNCDF </w:t>
            </w:r>
            <w:r w:rsidR="006B522B">
              <w:rPr>
                <w:lang w:val="en-GB"/>
              </w:rPr>
              <w:t xml:space="preserve">supported </w:t>
            </w:r>
            <w:r w:rsidRPr="0083254F">
              <w:rPr>
                <w:lang w:val="en-GB"/>
              </w:rPr>
              <w:t xml:space="preserve">partners, disaggregated by partner type </w:t>
            </w:r>
          </w:p>
        </w:tc>
        <w:tc>
          <w:tcPr>
            <w:tcW w:w="1243" w:type="dxa"/>
          </w:tcPr>
          <w:p w14:paraId="06C623A2" w14:textId="77777777" w:rsidR="006977EB" w:rsidRDefault="00AB4A3D" w:rsidP="00F50D6E">
            <w:pPr>
              <w:rPr>
                <w:lang w:val="en-GB"/>
              </w:rPr>
            </w:pPr>
            <w:r>
              <w:rPr>
                <w:lang w:val="en-GB"/>
              </w:rPr>
              <w:t>a) FSP: 134</w:t>
            </w:r>
          </w:p>
          <w:p w14:paraId="3CE0D98F" w14:textId="1BDF75EC" w:rsidR="00AB4A3D" w:rsidRPr="0083254F" w:rsidRDefault="00AB4A3D" w:rsidP="00F50D6E">
            <w:pPr>
              <w:rPr>
                <w:lang w:val="en-GB"/>
              </w:rPr>
            </w:pPr>
            <w:r>
              <w:rPr>
                <w:lang w:val="en-GB"/>
              </w:rPr>
              <w:t xml:space="preserve">b) LG: </w:t>
            </w:r>
            <w:r w:rsidR="00815D10">
              <w:rPr>
                <w:lang w:val="en-GB"/>
              </w:rPr>
              <w:t>214</w:t>
            </w:r>
            <w:r w:rsidR="00815D10" w:rsidRPr="00FE7C74">
              <w:rPr>
                <w:rStyle w:val="FootnoteReference"/>
                <w:color w:val="auto"/>
                <w:lang w:val="en-GB"/>
              </w:rPr>
              <w:footnoteReference w:id="10"/>
            </w:r>
          </w:p>
        </w:tc>
        <w:tc>
          <w:tcPr>
            <w:tcW w:w="1239" w:type="dxa"/>
          </w:tcPr>
          <w:p w14:paraId="05D7A1B8" w14:textId="1090F13B" w:rsidR="006977EB" w:rsidRDefault="00AB4A3D" w:rsidP="00F50D6E">
            <w:pPr>
              <w:rPr>
                <w:lang w:val="en-GB"/>
              </w:rPr>
            </w:pPr>
            <w:r>
              <w:rPr>
                <w:lang w:val="en-GB"/>
              </w:rPr>
              <w:t>a) 115</w:t>
            </w:r>
          </w:p>
          <w:p w14:paraId="19070663" w14:textId="0AE5D981" w:rsidR="00AB4A3D" w:rsidRPr="0083254F" w:rsidRDefault="00AB4A3D" w:rsidP="00F50D6E">
            <w:pPr>
              <w:rPr>
                <w:lang w:val="en-GB"/>
              </w:rPr>
            </w:pPr>
            <w:r>
              <w:rPr>
                <w:lang w:val="en-GB"/>
              </w:rPr>
              <w:t xml:space="preserve">b) </w:t>
            </w:r>
            <w:r w:rsidR="00815D10">
              <w:rPr>
                <w:lang w:val="en-GB"/>
              </w:rPr>
              <w:t>39</w:t>
            </w:r>
            <w:r>
              <w:rPr>
                <w:lang w:val="en-GB"/>
              </w:rPr>
              <w:t>0</w:t>
            </w:r>
          </w:p>
        </w:tc>
        <w:tc>
          <w:tcPr>
            <w:tcW w:w="1239" w:type="dxa"/>
          </w:tcPr>
          <w:p w14:paraId="5FEFBE2C" w14:textId="77777777" w:rsidR="006977EB" w:rsidRDefault="00AB4A3D" w:rsidP="00F50D6E">
            <w:pPr>
              <w:rPr>
                <w:lang w:val="en-GB"/>
              </w:rPr>
            </w:pPr>
            <w:r>
              <w:rPr>
                <w:lang w:val="en-GB"/>
              </w:rPr>
              <w:t>a) 125</w:t>
            </w:r>
          </w:p>
          <w:p w14:paraId="3D8CC9B9" w14:textId="61D6A6CC" w:rsidR="00AB4A3D" w:rsidRPr="0083254F" w:rsidRDefault="00AB4A3D" w:rsidP="00F50D6E">
            <w:pPr>
              <w:rPr>
                <w:lang w:val="en-GB"/>
              </w:rPr>
            </w:pPr>
            <w:r>
              <w:rPr>
                <w:lang w:val="en-GB"/>
              </w:rPr>
              <w:t>b) 4</w:t>
            </w:r>
            <w:r w:rsidR="00815D10">
              <w:rPr>
                <w:lang w:val="en-GB"/>
              </w:rPr>
              <w:t>0</w:t>
            </w:r>
            <w:r>
              <w:rPr>
                <w:lang w:val="en-GB"/>
              </w:rPr>
              <w:t>0</w:t>
            </w:r>
          </w:p>
        </w:tc>
        <w:tc>
          <w:tcPr>
            <w:tcW w:w="1239" w:type="dxa"/>
          </w:tcPr>
          <w:p w14:paraId="7DA80881" w14:textId="77777777" w:rsidR="006977EB" w:rsidRDefault="00AB4A3D" w:rsidP="00F50D6E">
            <w:pPr>
              <w:rPr>
                <w:lang w:val="en-GB"/>
              </w:rPr>
            </w:pPr>
            <w:r>
              <w:rPr>
                <w:lang w:val="en-GB"/>
              </w:rPr>
              <w:t>a) 110</w:t>
            </w:r>
          </w:p>
          <w:p w14:paraId="5D239C2A" w14:textId="75BC5E9E" w:rsidR="00AB4A3D" w:rsidRPr="0083254F" w:rsidRDefault="00AB4A3D" w:rsidP="00F50D6E">
            <w:pPr>
              <w:rPr>
                <w:lang w:val="en-GB"/>
              </w:rPr>
            </w:pPr>
            <w:r>
              <w:rPr>
                <w:lang w:val="en-GB"/>
              </w:rPr>
              <w:t xml:space="preserve">b) </w:t>
            </w:r>
            <w:r w:rsidR="00815D10">
              <w:rPr>
                <w:lang w:val="en-GB"/>
              </w:rPr>
              <w:t>410</w:t>
            </w:r>
          </w:p>
        </w:tc>
        <w:tc>
          <w:tcPr>
            <w:tcW w:w="1239" w:type="dxa"/>
          </w:tcPr>
          <w:p w14:paraId="603DC202" w14:textId="77777777" w:rsidR="00AB4A3D" w:rsidRDefault="00AB4A3D" w:rsidP="00F50D6E">
            <w:pPr>
              <w:rPr>
                <w:lang w:val="en-GB"/>
              </w:rPr>
            </w:pPr>
            <w:r>
              <w:rPr>
                <w:lang w:val="en-GB"/>
              </w:rPr>
              <w:t>a) 130</w:t>
            </w:r>
          </w:p>
          <w:p w14:paraId="3A2AEEEB" w14:textId="4BA55CC2" w:rsidR="00AB4A3D" w:rsidRPr="0083254F" w:rsidRDefault="00AB4A3D" w:rsidP="00F50D6E">
            <w:pPr>
              <w:rPr>
                <w:lang w:val="en-GB"/>
              </w:rPr>
            </w:pPr>
            <w:r>
              <w:rPr>
                <w:lang w:val="en-GB"/>
              </w:rPr>
              <w:t xml:space="preserve">b) </w:t>
            </w:r>
            <w:r w:rsidR="00815D10">
              <w:rPr>
                <w:lang w:val="en-GB"/>
              </w:rPr>
              <w:t>42</w:t>
            </w:r>
            <w:r>
              <w:rPr>
                <w:lang w:val="en-GB"/>
              </w:rPr>
              <w:t>0</w:t>
            </w:r>
          </w:p>
        </w:tc>
      </w:tr>
      <w:tr w:rsidR="006977EB" w:rsidRPr="0083254F" w14:paraId="0C25812A" w14:textId="77777777" w:rsidTr="0005016A">
        <w:tc>
          <w:tcPr>
            <w:tcW w:w="645" w:type="dxa"/>
            <w:vMerge/>
          </w:tcPr>
          <w:p w14:paraId="0DF1CEFD" w14:textId="77777777" w:rsidR="006977EB" w:rsidRPr="0083254F" w:rsidRDefault="006977EB" w:rsidP="00F50D6E">
            <w:pPr>
              <w:rPr>
                <w:lang w:val="en-GB"/>
              </w:rPr>
            </w:pPr>
          </w:p>
        </w:tc>
        <w:tc>
          <w:tcPr>
            <w:tcW w:w="12305" w:type="dxa"/>
            <w:gridSpan w:val="6"/>
            <w:shd w:val="clear" w:color="auto" w:fill="D0CECE" w:themeFill="background2" w:themeFillShade="E6"/>
          </w:tcPr>
          <w:p w14:paraId="109E89CB" w14:textId="77777777" w:rsidR="006977EB" w:rsidRPr="0083254F" w:rsidRDefault="006977EB" w:rsidP="00F50D6E">
            <w:pPr>
              <w:rPr>
                <w:lang w:val="en-GB"/>
              </w:rPr>
            </w:pPr>
            <w:r w:rsidRPr="0083254F">
              <w:rPr>
                <w:b/>
                <w:lang w:val="en-GB"/>
              </w:rPr>
              <w:t>Related UNCDF IRRM 2014-2017 indicator:</w:t>
            </w:r>
            <w:r w:rsidR="00E24945" w:rsidRPr="0083254F">
              <w:rPr>
                <w:lang w:val="en-GB"/>
              </w:rPr>
              <w:t xml:space="preserve"> Amended from combining Output indicators 1.1.1 and 1.2.1</w:t>
            </w:r>
          </w:p>
          <w:p w14:paraId="2D18E7F8" w14:textId="77777777" w:rsidR="006977EB" w:rsidRPr="0083254F" w:rsidRDefault="006977EB" w:rsidP="00F50D6E">
            <w:pPr>
              <w:rPr>
                <w:lang w:val="en-GB"/>
              </w:rPr>
            </w:pPr>
            <w:r w:rsidRPr="0083254F">
              <w:rPr>
                <w:b/>
                <w:lang w:val="en-GB"/>
              </w:rPr>
              <w:t xml:space="preserve">Data source: </w:t>
            </w:r>
            <w:r w:rsidRPr="0083254F">
              <w:rPr>
                <w:lang w:val="en-GB"/>
              </w:rPr>
              <w:t>Corporate finance report, Project reports</w:t>
            </w:r>
          </w:p>
          <w:p w14:paraId="2F87E9EA" w14:textId="7B7007E0" w:rsidR="006977EB" w:rsidRPr="0083254F" w:rsidRDefault="006977EB" w:rsidP="00F50D6E">
            <w:pPr>
              <w:rPr>
                <w:lang w:val="en-GB"/>
              </w:rPr>
            </w:pPr>
            <w:r w:rsidRPr="0083254F">
              <w:rPr>
                <w:b/>
                <w:lang w:val="en-GB"/>
              </w:rPr>
              <w:t>Approach to the indicator</w:t>
            </w:r>
            <w:r w:rsidR="00AB4A3D">
              <w:rPr>
                <w:b/>
                <w:lang w:val="en-GB"/>
              </w:rPr>
              <w:t xml:space="preserve"> (incremental)</w:t>
            </w:r>
            <w:r w:rsidRPr="0083254F">
              <w:rPr>
                <w:b/>
                <w:lang w:val="en-GB"/>
              </w:rPr>
              <w:t>:</w:t>
            </w:r>
            <w:r w:rsidRPr="0083254F">
              <w:rPr>
                <w:lang w:val="en-GB"/>
              </w:rPr>
              <w:t xml:space="preserve"> Partners are divided by FSPs</w:t>
            </w:r>
            <w:r w:rsidR="00AB4A3D">
              <w:rPr>
                <w:lang w:val="en-GB"/>
              </w:rPr>
              <w:t xml:space="preserve"> and LGs for baseline and targeting. Further disaggregation will be introduced for reporting. </w:t>
            </w:r>
          </w:p>
        </w:tc>
      </w:tr>
      <w:bookmarkEnd w:id="4"/>
      <w:tr w:rsidR="006977EB" w:rsidRPr="0083254F" w14:paraId="655A6385" w14:textId="77777777" w:rsidTr="0005016A">
        <w:tc>
          <w:tcPr>
            <w:tcW w:w="645" w:type="dxa"/>
            <w:vMerge w:val="restart"/>
          </w:tcPr>
          <w:p w14:paraId="15D8E2DB" w14:textId="77777777" w:rsidR="006977EB" w:rsidRPr="0083254F" w:rsidRDefault="006977EB" w:rsidP="00F50D6E">
            <w:pPr>
              <w:rPr>
                <w:lang w:val="en-GB"/>
              </w:rPr>
            </w:pPr>
            <w:r w:rsidRPr="0083254F">
              <w:rPr>
                <w:lang w:val="en-GB"/>
              </w:rPr>
              <w:t>1.</w:t>
            </w:r>
            <w:r w:rsidR="00E24945" w:rsidRPr="0083254F">
              <w:rPr>
                <w:lang w:val="en-GB"/>
              </w:rPr>
              <w:t>2</w:t>
            </w:r>
            <w:r w:rsidRPr="0083254F">
              <w:rPr>
                <w:lang w:val="en-GB"/>
              </w:rPr>
              <w:t>.2</w:t>
            </w:r>
          </w:p>
        </w:tc>
        <w:tc>
          <w:tcPr>
            <w:tcW w:w="6106" w:type="dxa"/>
          </w:tcPr>
          <w:p w14:paraId="77C3FDC2" w14:textId="77777777" w:rsidR="006977EB" w:rsidRDefault="00E24945" w:rsidP="00F50D6E">
            <w:pPr>
              <w:tabs>
                <w:tab w:val="left" w:pos="2278"/>
              </w:tabs>
              <w:rPr>
                <w:lang w:val="en-GB"/>
              </w:rPr>
            </w:pPr>
            <w:r w:rsidRPr="0083254F">
              <w:rPr>
                <w:lang w:val="en-GB"/>
              </w:rPr>
              <w:t>Number of commitments to Better Than Cash Alliance (BTCA) to transition cash to electronic payments, disaggregated by partner type</w:t>
            </w:r>
          </w:p>
          <w:p w14:paraId="3C83A0AF" w14:textId="7F3A39AF" w:rsidR="00016E21" w:rsidRPr="0083254F" w:rsidRDefault="00016E21" w:rsidP="00F50D6E">
            <w:pPr>
              <w:tabs>
                <w:tab w:val="left" w:pos="2278"/>
              </w:tabs>
              <w:rPr>
                <w:lang w:val="en-GB"/>
              </w:rPr>
            </w:pPr>
          </w:p>
        </w:tc>
        <w:tc>
          <w:tcPr>
            <w:tcW w:w="1243" w:type="dxa"/>
          </w:tcPr>
          <w:p w14:paraId="20B82B19" w14:textId="29C8609B" w:rsidR="006977EB" w:rsidRPr="0083254F" w:rsidRDefault="00AB4A3D" w:rsidP="00F50D6E">
            <w:pPr>
              <w:rPr>
                <w:lang w:val="en-GB"/>
              </w:rPr>
            </w:pPr>
            <w:r>
              <w:rPr>
                <w:lang w:val="en-GB"/>
              </w:rPr>
              <w:t>55</w:t>
            </w:r>
          </w:p>
        </w:tc>
        <w:tc>
          <w:tcPr>
            <w:tcW w:w="1239" w:type="dxa"/>
          </w:tcPr>
          <w:p w14:paraId="545A2989" w14:textId="0C76F094" w:rsidR="006977EB" w:rsidRPr="0083254F" w:rsidRDefault="00AB4A3D" w:rsidP="00F50D6E">
            <w:pPr>
              <w:rPr>
                <w:lang w:val="en-GB"/>
              </w:rPr>
            </w:pPr>
            <w:r>
              <w:rPr>
                <w:lang w:val="en-GB"/>
              </w:rPr>
              <w:t>65</w:t>
            </w:r>
          </w:p>
        </w:tc>
        <w:tc>
          <w:tcPr>
            <w:tcW w:w="1239" w:type="dxa"/>
          </w:tcPr>
          <w:p w14:paraId="21F8433D" w14:textId="08DD82E7" w:rsidR="006977EB" w:rsidRPr="0083254F" w:rsidRDefault="00AB4A3D" w:rsidP="00F50D6E">
            <w:pPr>
              <w:rPr>
                <w:lang w:val="en-GB"/>
              </w:rPr>
            </w:pPr>
            <w:r>
              <w:rPr>
                <w:lang w:val="en-GB"/>
              </w:rPr>
              <w:t>70</w:t>
            </w:r>
          </w:p>
        </w:tc>
        <w:tc>
          <w:tcPr>
            <w:tcW w:w="1239" w:type="dxa"/>
          </w:tcPr>
          <w:p w14:paraId="4C38462A" w14:textId="74240239" w:rsidR="006977EB" w:rsidRPr="0083254F" w:rsidRDefault="00AB4A3D" w:rsidP="00F50D6E">
            <w:pPr>
              <w:rPr>
                <w:lang w:val="en-GB"/>
              </w:rPr>
            </w:pPr>
            <w:r>
              <w:rPr>
                <w:lang w:val="en-GB"/>
              </w:rPr>
              <w:t>75</w:t>
            </w:r>
          </w:p>
        </w:tc>
        <w:tc>
          <w:tcPr>
            <w:tcW w:w="1239" w:type="dxa"/>
          </w:tcPr>
          <w:p w14:paraId="25E88C48" w14:textId="404AEA19" w:rsidR="006977EB" w:rsidRPr="0083254F" w:rsidRDefault="00AB4A3D" w:rsidP="00F50D6E">
            <w:pPr>
              <w:rPr>
                <w:lang w:val="en-GB"/>
              </w:rPr>
            </w:pPr>
            <w:r>
              <w:rPr>
                <w:lang w:val="en-GB"/>
              </w:rPr>
              <w:t>75</w:t>
            </w:r>
          </w:p>
        </w:tc>
      </w:tr>
      <w:tr w:rsidR="006977EB" w:rsidRPr="0083254F" w14:paraId="6EAA67A1" w14:textId="77777777" w:rsidTr="0005016A">
        <w:tc>
          <w:tcPr>
            <w:tcW w:w="645" w:type="dxa"/>
            <w:vMerge/>
          </w:tcPr>
          <w:p w14:paraId="57A8DC74" w14:textId="77777777" w:rsidR="006977EB" w:rsidRPr="0083254F" w:rsidRDefault="006977EB" w:rsidP="00F50D6E">
            <w:pPr>
              <w:rPr>
                <w:lang w:val="en-GB"/>
              </w:rPr>
            </w:pPr>
          </w:p>
        </w:tc>
        <w:tc>
          <w:tcPr>
            <w:tcW w:w="12305" w:type="dxa"/>
            <w:gridSpan w:val="6"/>
            <w:shd w:val="clear" w:color="auto" w:fill="D0CECE" w:themeFill="background2" w:themeFillShade="E6"/>
          </w:tcPr>
          <w:p w14:paraId="041E20A4" w14:textId="77777777" w:rsidR="006977EB" w:rsidRPr="0083254F" w:rsidRDefault="006977EB" w:rsidP="00F50D6E">
            <w:pPr>
              <w:rPr>
                <w:lang w:val="en-GB"/>
              </w:rPr>
            </w:pPr>
            <w:r w:rsidRPr="0083254F">
              <w:rPr>
                <w:b/>
                <w:lang w:val="en-GB"/>
              </w:rPr>
              <w:t>Related UNCDF IRRM 2014-2017 indicator:</w:t>
            </w:r>
            <w:r w:rsidRPr="0083254F">
              <w:rPr>
                <w:lang w:val="en-GB"/>
              </w:rPr>
              <w:t xml:space="preserve"> </w:t>
            </w:r>
            <w:r w:rsidR="00E24945" w:rsidRPr="0083254F">
              <w:rPr>
                <w:lang w:val="en-GB"/>
              </w:rPr>
              <w:t>Amended Output indicator 3.1.2.</w:t>
            </w:r>
          </w:p>
          <w:p w14:paraId="12D6E688" w14:textId="77777777" w:rsidR="006977EB" w:rsidRPr="0083254F" w:rsidRDefault="006977EB" w:rsidP="00F50D6E">
            <w:pPr>
              <w:rPr>
                <w:lang w:val="en-GB"/>
              </w:rPr>
            </w:pPr>
            <w:r w:rsidRPr="0083254F">
              <w:rPr>
                <w:b/>
                <w:lang w:val="en-GB"/>
              </w:rPr>
              <w:t xml:space="preserve">Data source: </w:t>
            </w:r>
            <w:r w:rsidR="00E24945" w:rsidRPr="0083254F">
              <w:rPr>
                <w:lang w:val="en-GB"/>
              </w:rPr>
              <w:t>BTCA report</w:t>
            </w:r>
          </w:p>
          <w:p w14:paraId="5956B6A9" w14:textId="331769A0" w:rsidR="006977EB" w:rsidRPr="0083254F" w:rsidRDefault="006977EB" w:rsidP="00F50D6E">
            <w:pPr>
              <w:rPr>
                <w:lang w:val="en-GB"/>
              </w:rPr>
            </w:pPr>
            <w:r w:rsidRPr="0083254F">
              <w:rPr>
                <w:b/>
                <w:lang w:val="en-GB"/>
              </w:rPr>
              <w:t>Approach to the indicator</w:t>
            </w:r>
            <w:r w:rsidR="00AB4A3D">
              <w:rPr>
                <w:b/>
                <w:lang w:val="en-GB"/>
              </w:rPr>
              <w:t xml:space="preserve"> (cumulative)</w:t>
            </w:r>
            <w:r w:rsidRPr="0083254F">
              <w:rPr>
                <w:b/>
                <w:lang w:val="en-GB"/>
              </w:rPr>
              <w:t xml:space="preserve">: </w:t>
            </w:r>
            <w:r w:rsidR="00E24945" w:rsidRPr="0083254F">
              <w:rPr>
                <w:lang w:val="en-GB"/>
              </w:rPr>
              <w:t>Disaggregation of partner type to be based on BTCA definition</w:t>
            </w:r>
            <w:r w:rsidR="00AB4A3D">
              <w:rPr>
                <w:lang w:val="en-GB"/>
              </w:rPr>
              <w:t xml:space="preserve"> and only </w:t>
            </w:r>
            <w:r w:rsidR="002C5BDB">
              <w:rPr>
                <w:lang w:val="en-GB"/>
              </w:rPr>
              <w:t>to be introduced</w:t>
            </w:r>
            <w:r w:rsidR="00AB4A3D">
              <w:rPr>
                <w:lang w:val="en-GB"/>
              </w:rPr>
              <w:t xml:space="preserve"> for reporting. </w:t>
            </w:r>
          </w:p>
        </w:tc>
      </w:tr>
      <w:tr w:rsidR="00477BE3" w:rsidRPr="0083254F" w14:paraId="239BD904" w14:textId="77777777" w:rsidTr="0005016A">
        <w:tc>
          <w:tcPr>
            <w:tcW w:w="645" w:type="dxa"/>
            <w:vMerge w:val="restart"/>
          </w:tcPr>
          <w:p w14:paraId="1A567D75" w14:textId="77777777" w:rsidR="00477BE3" w:rsidRPr="0083254F" w:rsidRDefault="00477BE3" w:rsidP="00F50D6E">
            <w:pPr>
              <w:rPr>
                <w:lang w:val="en-GB"/>
              </w:rPr>
            </w:pPr>
            <w:r>
              <w:rPr>
                <w:lang w:val="en-GB"/>
              </w:rPr>
              <w:t>1.2.3</w:t>
            </w:r>
          </w:p>
        </w:tc>
        <w:tc>
          <w:tcPr>
            <w:tcW w:w="6106" w:type="dxa"/>
          </w:tcPr>
          <w:p w14:paraId="427B9251" w14:textId="77777777" w:rsidR="00477BE3" w:rsidRDefault="00477BE3" w:rsidP="00F50D6E">
            <w:r w:rsidRPr="00BA20F8">
              <w:t xml:space="preserve">Number of countries </w:t>
            </w:r>
            <w:r w:rsidR="0076714B">
              <w:t>introducing</w:t>
            </w:r>
            <w:r w:rsidR="00B07CD2">
              <w:t xml:space="preserve"> and</w:t>
            </w:r>
            <w:r w:rsidR="00C73E04">
              <w:t>/or</w:t>
            </w:r>
            <w:r w:rsidR="00B07CD2">
              <w:t xml:space="preserve"> strengthening</w:t>
            </w:r>
            <w:r w:rsidR="0076714B">
              <w:t xml:space="preserve"> inter-governmental fiscal transfer systems to local government </w:t>
            </w:r>
            <w:r w:rsidRPr="00BA20F8">
              <w:t>as a result of UNCDF support, disaggregated by type</w:t>
            </w:r>
            <w:r w:rsidR="00AC5B93">
              <w:t xml:space="preserve"> including the LoCAL mechanism </w:t>
            </w:r>
          </w:p>
          <w:p w14:paraId="0317AFA0" w14:textId="2ED52866" w:rsidR="00016E21" w:rsidRPr="003F7B4D" w:rsidRDefault="00016E21" w:rsidP="00F50D6E"/>
        </w:tc>
        <w:tc>
          <w:tcPr>
            <w:tcW w:w="1243" w:type="dxa"/>
          </w:tcPr>
          <w:p w14:paraId="2623D879" w14:textId="11EE2AC5" w:rsidR="00477BE3" w:rsidRDefault="00AB4A3D" w:rsidP="00F50D6E">
            <w:pPr>
              <w:rPr>
                <w:lang w:val="en-GB"/>
              </w:rPr>
            </w:pPr>
            <w:r>
              <w:rPr>
                <w:lang w:val="en-GB"/>
              </w:rPr>
              <w:t>1</w:t>
            </w:r>
            <w:r w:rsidR="00505069">
              <w:rPr>
                <w:lang w:val="en-GB"/>
              </w:rPr>
              <w:t>4</w:t>
            </w:r>
            <w:r w:rsidR="00CE5C4F">
              <w:rPr>
                <w:lang w:val="en-GB"/>
              </w:rPr>
              <w:t xml:space="preserve"> (2017)</w:t>
            </w:r>
          </w:p>
          <w:p w14:paraId="5947470B" w14:textId="2AE24DDE" w:rsidR="00505069" w:rsidRDefault="00505069" w:rsidP="00F50D6E">
            <w:pPr>
              <w:rPr>
                <w:lang w:val="en-GB"/>
              </w:rPr>
            </w:pPr>
            <w:r>
              <w:rPr>
                <w:lang w:val="en-GB"/>
              </w:rPr>
              <w:t>-LoCAL: 13</w:t>
            </w:r>
          </w:p>
          <w:p w14:paraId="3EB9307E" w14:textId="1B4C4AF7" w:rsidR="001750B6" w:rsidRPr="0083254F" w:rsidRDefault="00505069" w:rsidP="00F50D6E">
            <w:pPr>
              <w:rPr>
                <w:lang w:val="en-GB"/>
              </w:rPr>
            </w:pPr>
            <w:r>
              <w:rPr>
                <w:lang w:val="en-GB"/>
              </w:rPr>
              <w:t>-LDF: 1</w:t>
            </w:r>
          </w:p>
        </w:tc>
        <w:tc>
          <w:tcPr>
            <w:tcW w:w="1239" w:type="dxa"/>
          </w:tcPr>
          <w:p w14:paraId="6CA19264" w14:textId="77777777" w:rsidR="00477BE3" w:rsidRDefault="00AB4A3D" w:rsidP="00F50D6E">
            <w:pPr>
              <w:rPr>
                <w:lang w:val="en-GB"/>
              </w:rPr>
            </w:pPr>
            <w:r>
              <w:rPr>
                <w:lang w:val="en-GB"/>
              </w:rPr>
              <w:t>1</w:t>
            </w:r>
            <w:r w:rsidR="00505069">
              <w:rPr>
                <w:lang w:val="en-GB"/>
              </w:rPr>
              <w:t>7</w:t>
            </w:r>
          </w:p>
          <w:p w14:paraId="55674CEB" w14:textId="6AE7BFFE" w:rsidR="00505069" w:rsidRDefault="00505069" w:rsidP="00505069">
            <w:pPr>
              <w:rPr>
                <w:lang w:val="en-GB"/>
              </w:rPr>
            </w:pPr>
            <w:r>
              <w:rPr>
                <w:lang w:val="en-GB"/>
              </w:rPr>
              <w:t>-LoCAL: 15</w:t>
            </w:r>
          </w:p>
          <w:p w14:paraId="6186216C" w14:textId="57A9D865" w:rsidR="00505069" w:rsidRPr="0083254F" w:rsidRDefault="00505069" w:rsidP="00505069">
            <w:pPr>
              <w:rPr>
                <w:lang w:val="en-GB"/>
              </w:rPr>
            </w:pPr>
            <w:r>
              <w:rPr>
                <w:lang w:val="en-GB"/>
              </w:rPr>
              <w:t>-LDF: 2</w:t>
            </w:r>
          </w:p>
        </w:tc>
        <w:tc>
          <w:tcPr>
            <w:tcW w:w="1239" w:type="dxa"/>
          </w:tcPr>
          <w:p w14:paraId="17B38303" w14:textId="77777777" w:rsidR="00477BE3" w:rsidRDefault="00AB4A3D" w:rsidP="00F50D6E">
            <w:pPr>
              <w:rPr>
                <w:lang w:val="en-GB"/>
              </w:rPr>
            </w:pPr>
            <w:r>
              <w:rPr>
                <w:lang w:val="en-GB"/>
              </w:rPr>
              <w:t>1</w:t>
            </w:r>
            <w:r w:rsidR="00505069">
              <w:rPr>
                <w:lang w:val="en-GB"/>
              </w:rPr>
              <w:t>8</w:t>
            </w:r>
          </w:p>
          <w:p w14:paraId="6CE8384C" w14:textId="3A5895D2" w:rsidR="00505069" w:rsidRDefault="00505069" w:rsidP="00505069">
            <w:pPr>
              <w:rPr>
                <w:lang w:val="en-GB"/>
              </w:rPr>
            </w:pPr>
            <w:r>
              <w:rPr>
                <w:lang w:val="en-GB"/>
              </w:rPr>
              <w:t>-LoCAL: 16</w:t>
            </w:r>
          </w:p>
          <w:p w14:paraId="71BD204C" w14:textId="23C4A26A" w:rsidR="00505069" w:rsidRPr="0083254F" w:rsidRDefault="00505069" w:rsidP="00505069">
            <w:pPr>
              <w:rPr>
                <w:lang w:val="en-GB"/>
              </w:rPr>
            </w:pPr>
            <w:r>
              <w:rPr>
                <w:lang w:val="en-GB"/>
              </w:rPr>
              <w:t>-LDF: 2</w:t>
            </w:r>
          </w:p>
        </w:tc>
        <w:tc>
          <w:tcPr>
            <w:tcW w:w="1239" w:type="dxa"/>
          </w:tcPr>
          <w:p w14:paraId="7A1BFC99" w14:textId="77777777" w:rsidR="00477BE3" w:rsidRDefault="00470289" w:rsidP="00F50D6E">
            <w:pPr>
              <w:rPr>
                <w:lang w:val="en-GB"/>
              </w:rPr>
            </w:pPr>
            <w:r>
              <w:rPr>
                <w:lang w:val="en-GB"/>
              </w:rPr>
              <w:t>1</w:t>
            </w:r>
            <w:r w:rsidR="00505069">
              <w:rPr>
                <w:lang w:val="en-GB"/>
              </w:rPr>
              <w:t>9</w:t>
            </w:r>
          </w:p>
          <w:p w14:paraId="56FB72F9" w14:textId="3E236EEA" w:rsidR="00505069" w:rsidRDefault="00505069" w:rsidP="00505069">
            <w:pPr>
              <w:rPr>
                <w:lang w:val="en-GB"/>
              </w:rPr>
            </w:pPr>
            <w:r>
              <w:rPr>
                <w:lang w:val="en-GB"/>
              </w:rPr>
              <w:t>-LoCAL: 17</w:t>
            </w:r>
          </w:p>
          <w:p w14:paraId="7F8CEB4E" w14:textId="077693A0" w:rsidR="00505069" w:rsidRPr="0083254F" w:rsidRDefault="00505069" w:rsidP="00505069">
            <w:pPr>
              <w:rPr>
                <w:lang w:val="en-GB"/>
              </w:rPr>
            </w:pPr>
            <w:r>
              <w:rPr>
                <w:lang w:val="en-GB"/>
              </w:rPr>
              <w:t>-LDF: 2</w:t>
            </w:r>
          </w:p>
        </w:tc>
        <w:tc>
          <w:tcPr>
            <w:tcW w:w="1239" w:type="dxa"/>
          </w:tcPr>
          <w:p w14:paraId="32D14B45" w14:textId="77777777" w:rsidR="00477BE3" w:rsidRDefault="00505069" w:rsidP="00F50D6E">
            <w:pPr>
              <w:rPr>
                <w:lang w:val="en-GB"/>
              </w:rPr>
            </w:pPr>
            <w:r>
              <w:rPr>
                <w:lang w:val="en-GB"/>
              </w:rPr>
              <w:t>20</w:t>
            </w:r>
          </w:p>
          <w:p w14:paraId="24F5B1C0" w14:textId="126DA79A" w:rsidR="00505069" w:rsidRDefault="00505069" w:rsidP="00505069">
            <w:pPr>
              <w:rPr>
                <w:lang w:val="en-GB"/>
              </w:rPr>
            </w:pPr>
            <w:r>
              <w:rPr>
                <w:lang w:val="en-GB"/>
              </w:rPr>
              <w:t>-LoCAL: 18</w:t>
            </w:r>
          </w:p>
          <w:p w14:paraId="5C2C1E86" w14:textId="00B0CFBF" w:rsidR="00505069" w:rsidRPr="0083254F" w:rsidRDefault="00505069" w:rsidP="00505069">
            <w:pPr>
              <w:rPr>
                <w:lang w:val="en-GB"/>
              </w:rPr>
            </w:pPr>
            <w:r>
              <w:rPr>
                <w:lang w:val="en-GB"/>
              </w:rPr>
              <w:t>-LDF: 2</w:t>
            </w:r>
          </w:p>
        </w:tc>
      </w:tr>
      <w:tr w:rsidR="00477BE3" w:rsidRPr="0083254F" w14:paraId="740F0E98" w14:textId="77777777" w:rsidTr="003F7B4D">
        <w:tc>
          <w:tcPr>
            <w:tcW w:w="645" w:type="dxa"/>
            <w:vMerge/>
          </w:tcPr>
          <w:p w14:paraId="2CE13C3B" w14:textId="77777777" w:rsidR="00477BE3" w:rsidRPr="0083254F" w:rsidRDefault="00477BE3" w:rsidP="00F50D6E">
            <w:pPr>
              <w:rPr>
                <w:lang w:val="en-GB"/>
              </w:rPr>
            </w:pPr>
          </w:p>
        </w:tc>
        <w:tc>
          <w:tcPr>
            <w:tcW w:w="12305" w:type="dxa"/>
            <w:gridSpan w:val="6"/>
            <w:shd w:val="clear" w:color="auto" w:fill="D0CECE" w:themeFill="background2" w:themeFillShade="E6"/>
          </w:tcPr>
          <w:p w14:paraId="57D06BBD" w14:textId="77777777" w:rsidR="00477BE3" w:rsidRPr="0083254F" w:rsidRDefault="00477BE3" w:rsidP="00477BE3">
            <w:pPr>
              <w:rPr>
                <w:lang w:val="en-GB"/>
              </w:rPr>
            </w:pPr>
            <w:r w:rsidRPr="0083254F">
              <w:rPr>
                <w:b/>
                <w:lang w:val="en-GB"/>
              </w:rPr>
              <w:t>Related UNCDF IRRM 2014-2017 indicator:</w:t>
            </w:r>
            <w:r w:rsidRPr="0083254F">
              <w:rPr>
                <w:lang w:val="en-GB"/>
              </w:rPr>
              <w:t xml:space="preserve"> Amended from O</w:t>
            </w:r>
            <w:r>
              <w:rPr>
                <w:lang w:val="en-GB"/>
              </w:rPr>
              <w:t>utput indicators 2.2.2</w:t>
            </w:r>
          </w:p>
          <w:p w14:paraId="71C2165C" w14:textId="77777777" w:rsidR="00477BE3" w:rsidRPr="0083254F" w:rsidRDefault="00477BE3" w:rsidP="00477BE3">
            <w:pPr>
              <w:rPr>
                <w:lang w:val="en-GB"/>
              </w:rPr>
            </w:pPr>
            <w:r w:rsidRPr="0083254F">
              <w:rPr>
                <w:b/>
                <w:lang w:val="en-GB"/>
              </w:rPr>
              <w:t xml:space="preserve">Data source: </w:t>
            </w:r>
            <w:r w:rsidRPr="0083254F">
              <w:rPr>
                <w:lang w:val="en-GB"/>
              </w:rPr>
              <w:t>Project reports</w:t>
            </w:r>
          </w:p>
          <w:p w14:paraId="3DE0CC6C" w14:textId="3BCEC325" w:rsidR="00477BE3" w:rsidRPr="0083254F" w:rsidRDefault="00477BE3" w:rsidP="00477BE3">
            <w:pPr>
              <w:rPr>
                <w:lang w:val="en-GB"/>
              </w:rPr>
            </w:pPr>
            <w:r w:rsidRPr="0083254F">
              <w:rPr>
                <w:b/>
                <w:lang w:val="en-GB"/>
              </w:rPr>
              <w:lastRenderedPageBreak/>
              <w:t>Approach to the indicator</w:t>
            </w:r>
            <w:r w:rsidR="00AB4A3D">
              <w:rPr>
                <w:b/>
                <w:lang w:val="en-GB"/>
              </w:rPr>
              <w:t xml:space="preserve"> (cumulative)</w:t>
            </w:r>
            <w:r w:rsidRPr="0083254F">
              <w:rPr>
                <w:b/>
                <w:lang w:val="en-GB"/>
              </w:rPr>
              <w:t>:</w:t>
            </w:r>
            <w:r w:rsidR="00AC5B93">
              <w:rPr>
                <w:lang w:val="en-GB"/>
              </w:rPr>
              <w:t xml:space="preserve"> </w:t>
            </w:r>
            <w:r w:rsidR="00277653">
              <w:rPr>
                <w:lang w:val="en-GB"/>
              </w:rPr>
              <w:t xml:space="preserve">The indicator will track countries that are </w:t>
            </w:r>
            <w:r w:rsidR="00B92769">
              <w:rPr>
                <w:lang w:val="en-GB"/>
              </w:rPr>
              <w:t>actively</w:t>
            </w:r>
            <w:r w:rsidR="00277653">
              <w:rPr>
                <w:lang w:val="en-GB"/>
              </w:rPr>
              <w:t xml:space="preserve"> using inter-governmental fiscal transfer </w:t>
            </w:r>
            <w:r w:rsidR="00B92769">
              <w:rPr>
                <w:lang w:val="en-GB"/>
              </w:rPr>
              <w:t xml:space="preserve">with UNCDF channelled and/or leveraged funds and support. </w:t>
            </w:r>
          </w:p>
        </w:tc>
      </w:tr>
      <w:tr w:rsidR="006977EB" w:rsidRPr="0083254F" w14:paraId="4981E129" w14:textId="77777777" w:rsidTr="0005016A">
        <w:tc>
          <w:tcPr>
            <w:tcW w:w="645" w:type="dxa"/>
            <w:vMerge w:val="restart"/>
          </w:tcPr>
          <w:p w14:paraId="00AFC260" w14:textId="3578D884" w:rsidR="006977EB" w:rsidRPr="0083254F" w:rsidRDefault="006977EB" w:rsidP="00F50D6E">
            <w:pPr>
              <w:rPr>
                <w:lang w:val="en-GB"/>
              </w:rPr>
            </w:pPr>
            <w:r w:rsidRPr="0083254F">
              <w:rPr>
                <w:lang w:val="en-GB"/>
              </w:rPr>
              <w:lastRenderedPageBreak/>
              <w:t>1.</w:t>
            </w:r>
            <w:r w:rsidR="00E24945" w:rsidRPr="0083254F">
              <w:rPr>
                <w:lang w:val="en-GB"/>
              </w:rPr>
              <w:t>2</w:t>
            </w:r>
            <w:r w:rsidRPr="0083254F">
              <w:rPr>
                <w:lang w:val="en-GB"/>
              </w:rPr>
              <w:t>.</w:t>
            </w:r>
            <w:r w:rsidR="00477BE3">
              <w:rPr>
                <w:lang w:val="en-GB"/>
              </w:rPr>
              <w:t>4</w:t>
            </w:r>
          </w:p>
        </w:tc>
        <w:tc>
          <w:tcPr>
            <w:tcW w:w="6106" w:type="dxa"/>
          </w:tcPr>
          <w:p w14:paraId="71C098BD" w14:textId="77777777" w:rsidR="006977EB" w:rsidRPr="0083254F" w:rsidRDefault="00E24945" w:rsidP="00F50D6E">
            <w:pPr>
              <w:rPr>
                <w:lang w:val="en-GB"/>
              </w:rPr>
            </w:pPr>
            <w:r w:rsidRPr="0083254F">
              <w:rPr>
                <w:lang w:val="en-GB"/>
              </w:rPr>
              <w:t>Number of people participated in capacity building activities supported by UNCDF, disaggregated by sex and subject areas</w:t>
            </w:r>
          </w:p>
        </w:tc>
        <w:tc>
          <w:tcPr>
            <w:tcW w:w="1243" w:type="dxa"/>
          </w:tcPr>
          <w:p w14:paraId="0C243342" w14:textId="77777777" w:rsidR="006977EB" w:rsidRDefault="00AB4A3D" w:rsidP="00F50D6E">
            <w:pPr>
              <w:rPr>
                <w:lang w:val="en-GB"/>
              </w:rPr>
            </w:pPr>
            <w:r>
              <w:rPr>
                <w:lang w:val="en-GB"/>
              </w:rPr>
              <w:t xml:space="preserve">a) FinEdu: </w:t>
            </w:r>
          </w:p>
          <w:p w14:paraId="6460305C" w14:textId="703CB4D1" w:rsidR="00AB4A3D" w:rsidRDefault="00016E21" w:rsidP="00F50D6E">
            <w:pPr>
              <w:rPr>
                <w:lang w:val="en-GB"/>
              </w:rPr>
            </w:pPr>
            <w:r>
              <w:rPr>
                <w:lang w:val="en-GB"/>
              </w:rPr>
              <w:t>16,</w:t>
            </w:r>
            <w:r w:rsidRPr="00FE7C74">
              <w:rPr>
                <w:lang w:val="en-GB"/>
              </w:rPr>
              <w:t>956</w:t>
            </w:r>
            <w:r w:rsidRPr="00FE7C74">
              <w:rPr>
                <w:rStyle w:val="FootnoteReference"/>
                <w:color w:val="auto"/>
                <w:lang w:val="en-GB"/>
              </w:rPr>
              <w:footnoteReference w:id="11"/>
            </w:r>
            <w:r w:rsidR="002C5BDB" w:rsidRPr="00FE7C74">
              <w:rPr>
                <w:lang w:val="en-GB"/>
              </w:rPr>
              <w:t xml:space="preserve"> </w:t>
            </w:r>
            <w:r w:rsidR="002C5BDB">
              <w:rPr>
                <w:lang w:val="en-GB"/>
              </w:rPr>
              <w:t>(45%);</w:t>
            </w:r>
          </w:p>
          <w:p w14:paraId="04B08FE3" w14:textId="098DCD24" w:rsidR="00AB4A3D" w:rsidRPr="0083254F" w:rsidRDefault="00AB4A3D" w:rsidP="00F50D6E">
            <w:pPr>
              <w:rPr>
                <w:lang w:val="en-GB"/>
              </w:rPr>
            </w:pPr>
            <w:r>
              <w:rPr>
                <w:lang w:val="en-GB"/>
              </w:rPr>
              <w:t xml:space="preserve">LD: </w:t>
            </w:r>
            <w:r w:rsidR="00016E21">
              <w:rPr>
                <w:lang w:val="en-GB"/>
              </w:rPr>
              <w:t>6,391</w:t>
            </w:r>
            <w:r w:rsidR="002C5BDB">
              <w:rPr>
                <w:lang w:val="en-GB"/>
              </w:rPr>
              <w:t xml:space="preserve"> (26%)</w:t>
            </w:r>
          </w:p>
        </w:tc>
        <w:tc>
          <w:tcPr>
            <w:tcW w:w="1239" w:type="dxa"/>
          </w:tcPr>
          <w:p w14:paraId="32350694" w14:textId="25C52629" w:rsidR="006977EB" w:rsidRDefault="00AB4A3D" w:rsidP="00F50D6E">
            <w:pPr>
              <w:rPr>
                <w:lang w:val="en-GB"/>
              </w:rPr>
            </w:pPr>
            <w:r>
              <w:rPr>
                <w:lang w:val="en-GB"/>
              </w:rPr>
              <w:t xml:space="preserve">a) </w:t>
            </w:r>
            <w:r w:rsidR="00016E21">
              <w:rPr>
                <w:lang w:val="en-GB"/>
              </w:rPr>
              <w:t>15,500</w:t>
            </w:r>
            <w:r w:rsidR="002C5BDB">
              <w:rPr>
                <w:lang w:val="en-GB"/>
              </w:rPr>
              <w:t xml:space="preserve"> (46%); </w:t>
            </w:r>
          </w:p>
          <w:p w14:paraId="048CB4D6" w14:textId="190FD92F" w:rsidR="00AB4A3D" w:rsidRPr="0083254F" w:rsidRDefault="00AB4A3D" w:rsidP="00F50D6E">
            <w:pPr>
              <w:rPr>
                <w:lang w:val="en-GB"/>
              </w:rPr>
            </w:pPr>
            <w:r>
              <w:rPr>
                <w:lang w:val="en-GB"/>
              </w:rPr>
              <w:t xml:space="preserve">b) </w:t>
            </w:r>
            <w:r w:rsidR="00016E21">
              <w:rPr>
                <w:lang w:val="en-GB"/>
              </w:rPr>
              <w:t>6,500</w:t>
            </w:r>
            <w:r w:rsidR="002C5BDB">
              <w:rPr>
                <w:lang w:val="en-GB"/>
              </w:rPr>
              <w:t xml:space="preserve"> (32%)</w:t>
            </w:r>
          </w:p>
        </w:tc>
        <w:tc>
          <w:tcPr>
            <w:tcW w:w="1239" w:type="dxa"/>
          </w:tcPr>
          <w:p w14:paraId="7CEDB931" w14:textId="1DCC3BB4" w:rsidR="00AB4A3D" w:rsidRDefault="00AB4A3D" w:rsidP="00AB4A3D">
            <w:pPr>
              <w:rPr>
                <w:lang w:val="en-GB"/>
              </w:rPr>
            </w:pPr>
            <w:r>
              <w:rPr>
                <w:lang w:val="en-GB"/>
              </w:rPr>
              <w:t xml:space="preserve">a) </w:t>
            </w:r>
            <w:r w:rsidR="00016E21">
              <w:rPr>
                <w:lang w:val="en-GB"/>
              </w:rPr>
              <w:t>15,800</w:t>
            </w:r>
            <w:r w:rsidR="002C5BDB">
              <w:rPr>
                <w:lang w:val="en-GB"/>
              </w:rPr>
              <w:t xml:space="preserve"> (47%);</w:t>
            </w:r>
          </w:p>
          <w:p w14:paraId="25022027" w14:textId="03682093" w:rsidR="006977EB" w:rsidRPr="0083254F" w:rsidRDefault="00AB4A3D" w:rsidP="00AB4A3D">
            <w:pPr>
              <w:rPr>
                <w:lang w:val="en-GB"/>
              </w:rPr>
            </w:pPr>
            <w:r>
              <w:rPr>
                <w:lang w:val="en-GB"/>
              </w:rPr>
              <w:t xml:space="preserve">b) </w:t>
            </w:r>
            <w:r w:rsidR="00016E21">
              <w:rPr>
                <w:lang w:val="en-GB"/>
              </w:rPr>
              <w:t>6,600</w:t>
            </w:r>
            <w:r w:rsidR="002C5BDB">
              <w:rPr>
                <w:lang w:val="en-GB"/>
              </w:rPr>
              <w:t xml:space="preserve"> (38%)</w:t>
            </w:r>
          </w:p>
        </w:tc>
        <w:tc>
          <w:tcPr>
            <w:tcW w:w="1239" w:type="dxa"/>
          </w:tcPr>
          <w:p w14:paraId="6E0129C1" w14:textId="453AB050" w:rsidR="00AB4A3D" w:rsidRDefault="00AB4A3D" w:rsidP="00AB4A3D">
            <w:pPr>
              <w:rPr>
                <w:lang w:val="en-GB"/>
              </w:rPr>
            </w:pPr>
            <w:r>
              <w:rPr>
                <w:lang w:val="en-GB"/>
              </w:rPr>
              <w:t xml:space="preserve">a) </w:t>
            </w:r>
            <w:r w:rsidR="00016E21">
              <w:rPr>
                <w:lang w:val="en-GB"/>
              </w:rPr>
              <w:t>16,000</w:t>
            </w:r>
            <w:r w:rsidR="002C5BDB">
              <w:rPr>
                <w:lang w:val="en-GB"/>
              </w:rPr>
              <w:t xml:space="preserve"> (48%);</w:t>
            </w:r>
          </w:p>
          <w:p w14:paraId="5D984AAA" w14:textId="7801ECA5" w:rsidR="006977EB" w:rsidRPr="0083254F" w:rsidRDefault="00AB4A3D" w:rsidP="00AB4A3D">
            <w:pPr>
              <w:rPr>
                <w:lang w:val="en-GB"/>
              </w:rPr>
            </w:pPr>
            <w:r>
              <w:rPr>
                <w:lang w:val="en-GB"/>
              </w:rPr>
              <w:t xml:space="preserve">b) </w:t>
            </w:r>
            <w:r w:rsidR="00016E21">
              <w:rPr>
                <w:lang w:val="en-GB"/>
              </w:rPr>
              <w:t>6,700</w:t>
            </w:r>
            <w:r w:rsidR="002C5BDB">
              <w:rPr>
                <w:lang w:val="en-GB"/>
              </w:rPr>
              <w:t xml:space="preserve"> (44%)</w:t>
            </w:r>
          </w:p>
        </w:tc>
        <w:tc>
          <w:tcPr>
            <w:tcW w:w="1239" w:type="dxa"/>
          </w:tcPr>
          <w:p w14:paraId="183725B4" w14:textId="768052C3" w:rsidR="00AB4A3D" w:rsidRDefault="00AB4A3D" w:rsidP="00AB4A3D">
            <w:pPr>
              <w:rPr>
                <w:lang w:val="en-GB"/>
              </w:rPr>
            </w:pPr>
            <w:r>
              <w:rPr>
                <w:lang w:val="en-GB"/>
              </w:rPr>
              <w:t xml:space="preserve">a) </w:t>
            </w:r>
            <w:r w:rsidR="00016E21">
              <w:rPr>
                <w:lang w:val="en-GB"/>
              </w:rPr>
              <w:t>16,500</w:t>
            </w:r>
            <w:r w:rsidR="002C5BDB">
              <w:rPr>
                <w:lang w:val="en-GB"/>
              </w:rPr>
              <w:t xml:space="preserve"> (50%);</w:t>
            </w:r>
          </w:p>
          <w:p w14:paraId="36753513" w14:textId="001BACF3" w:rsidR="006977EB" w:rsidRPr="0083254F" w:rsidRDefault="00AB4A3D" w:rsidP="00AB4A3D">
            <w:pPr>
              <w:rPr>
                <w:lang w:val="en-GB"/>
              </w:rPr>
            </w:pPr>
            <w:r>
              <w:rPr>
                <w:lang w:val="en-GB"/>
              </w:rPr>
              <w:t xml:space="preserve">b) </w:t>
            </w:r>
            <w:r w:rsidR="00016E21">
              <w:rPr>
                <w:lang w:val="en-GB"/>
              </w:rPr>
              <w:t>6,900</w:t>
            </w:r>
            <w:r w:rsidR="002C5BDB">
              <w:rPr>
                <w:lang w:val="en-GB"/>
              </w:rPr>
              <w:t xml:space="preserve"> (50%)</w:t>
            </w:r>
          </w:p>
        </w:tc>
      </w:tr>
      <w:tr w:rsidR="006977EB" w:rsidRPr="0083254F" w14:paraId="1FBD531C" w14:textId="77777777" w:rsidTr="0005016A">
        <w:tc>
          <w:tcPr>
            <w:tcW w:w="645" w:type="dxa"/>
            <w:vMerge/>
          </w:tcPr>
          <w:p w14:paraId="16A7B1C5" w14:textId="77777777" w:rsidR="006977EB" w:rsidRPr="0083254F" w:rsidRDefault="006977EB" w:rsidP="00F50D6E">
            <w:pPr>
              <w:rPr>
                <w:lang w:val="en-GB"/>
              </w:rPr>
            </w:pPr>
          </w:p>
        </w:tc>
        <w:tc>
          <w:tcPr>
            <w:tcW w:w="12305" w:type="dxa"/>
            <w:gridSpan w:val="6"/>
            <w:shd w:val="clear" w:color="auto" w:fill="D0CECE" w:themeFill="background2" w:themeFillShade="E6"/>
          </w:tcPr>
          <w:p w14:paraId="3A5B9E2B" w14:textId="4B31E3DA" w:rsidR="006977EB" w:rsidRPr="0083254F" w:rsidRDefault="006977EB" w:rsidP="00F50D6E">
            <w:pPr>
              <w:rPr>
                <w:lang w:val="en-GB"/>
              </w:rPr>
            </w:pPr>
            <w:r w:rsidRPr="0083254F">
              <w:rPr>
                <w:b/>
                <w:lang w:val="en-GB"/>
              </w:rPr>
              <w:t>Related UNCDF IRRM 2014-2017 indicator:</w:t>
            </w:r>
            <w:r w:rsidR="00E24945" w:rsidRPr="0083254F">
              <w:rPr>
                <w:lang w:val="en-GB"/>
              </w:rPr>
              <w:t xml:space="preserve"> Amended from combining Output indicators 3.2.3 and 3.1.3</w:t>
            </w:r>
            <w:r w:rsidR="00B07CD2">
              <w:rPr>
                <w:lang w:val="en-GB"/>
              </w:rPr>
              <w:t>p</w:t>
            </w:r>
          </w:p>
          <w:p w14:paraId="67CFBC06" w14:textId="77777777" w:rsidR="006977EB" w:rsidRPr="0083254F" w:rsidRDefault="006977EB" w:rsidP="00F50D6E">
            <w:pPr>
              <w:rPr>
                <w:lang w:val="en-GB"/>
              </w:rPr>
            </w:pPr>
            <w:r w:rsidRPr="0083254F">
              <w:rPr>
                <w:b/>
                <w:lang w:val="en-GB"/>
              </w:rPr>
              <w:t xml:space="preserve">Data source: </w:t>
            </w:r>
            <w:r w:rsidRPr="0083254F">
              <w:rPr>
                <w:lang w:val="en-GB"/>
              </w:rPr>
              <w:t>Project reports</w:t>
            </w:r>
          </w:p>
          <w:p w14:paraId="276D1B4E" w14:textId="54995293" w:rsidR="006977EB" w:rsidRPr="0083254F" w:rsidRDefault="006977EB" w:rsidP="00F50D6E">
            <w:pPr>
              <w:rPr>
                <w:lang w:val="en-GB"/>
              </w:rPr>
            </w:pPr>
            <w:r w:rsidRPr="0083254F">
              <w:rPr>
                <w:b/>
                <w:lang w:val="en-GB"/>
              </w:rPr>
              <w:t>Approach to the indicator</w:t>
            </w:r>
            <w:r w:rsidR="00AB4A3D">
              <w:rPr>
                <w:b/>
                <w:lang w:val="en-GB"/>
              </w:rPr>
              <w:t xml:space="preserve"> (incremental)</w:t>
            </w:r>
            <w:r w:rsidRPr="0083254F">
              <w:rPr>
                <w:b/>
                <w:lang w:val="en-GB"/>
              </w:rPr>
              <w:t>:</w:t>
            </w:r>
            <w:r w:rsidRPr="0083254F">
              <w:rPr>
                <w:lang w:val="en-GB"/>
              </w:rPr>
              <w:t xml:space="preserve"> </w:t>
            </w:r>
            <w:r w:rsidR="00E24945" w:rsidRPr="0083254F">
              <w:rPr>
                <w:lang w:val="en-GB"/>
              </w:rPr>
              <w:t xml:space="preserve">Capacity building activities include a range of activities from trainings, workshops, study visits, etc. </w:t>
            </w:r>
            <w:r w:rsidR="002C5BDB">
              <w:rPr>
                <w:lang w:val="en-GB"/>
              </w:rPr>
              <w:t xml:space="preserve">Percentage of women introduced in brackets. </w:t>
            </w:r>
          </w:p>
        </w:tc>
      </w:tr>
    </w:tbl>
    <w:p w14:paraId="7ECA669B" w14:textId="77777777" w:rsidR="00E24945" w:rsidRPr="0083254F" w:rsidRDefault="00E24945" w:rsidP="00E24945">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532"/>
        <w:gridCol w:w="6177"/>
        <w:gridCol w:w="1249"/>
        <w:gridCol w:w="1248"/>
        <w:gridCol w:w="1248"/>
        <w:gridCol w:w="1248"/>
        <w:gridCol w:w="1248"/>
      </w:tblGrid>
      <w:tr w:rsidR="00E24945" w:rsidRPr="0083254F" w14:paraId="692C7D38" w14:textId="77777777" w:rsidTr="00F50D6E">
        <w:tc>
          <w:tcPr>
            <w:tcW w:w="12950" w:type="dxa"/>
            <w:gridSpan w:val="7"/>
            <w:shd w:val="clear" w:color="auto" w:fill="002060"/>
          </w:tcPr>
          <w:p w14:paraId="35CF34E1" w14:textId="77777777" w:rsidR="00E24945" w:rsidRPr="0083254F" w:rsidRDefault="00E24945" w:rsidP="00F50D6E">
            <w:pPr>
              <w:rPr>
                <w:b/>
                <w:color w:val="FFFF00"/>
                <w:sz w:val="24"/>
                <w:szCs w:val="24"/>
                <w:lang w:val="en-GB"/>
              </w:rPr>
            </w:pPr>
            <w:r w:rsidRPr="0083254F">
              <w:rPr>
                <w:b/>
                <w:color w:val="FFFF00"/>
                <w:sz w:val="24"/>
                <w:szCs w:val="24"/>
                <w:u w:val="single"/>
                <w:lang w:val="en-GB"/>
              </w:rPr>
              <w:t>Output 3:</w:t>
            </w:r>
            <w:r w:rsidRPr="0083254F">
              <w:rPr>
                <w:b/>
                <w:color w:val="FFFF00"/>
                <w:sz w:val="24"/>
                <w:szCs w:val="24"/>
                <w:lang w:val="en-GB"/>
              </w:rPr>
              <w:t xml:space="preserve"> Policy support, diagnostics, data, knowledge and evidence provided to drive policy and regulatory change</w:t>
            </w:r>
            <w:r w:rsidR="00F3701B">
              <w:rPr>
                <w:b/>
                <w:color w:val="FFFF00"/>
                <w:sz w:val="24"/>
                <w:szCs w:val="24"/>
                <w:lang w:val="en-GB"/>
              </w:rPr>
              <w:t xml:space="preserve"> and changes in investors’ behaviours.</w:t>
            </w:r>
            <w:r w:rsidR="002A33DD">
              <w:rPr>
                <w:b/>
                <w:color w:val="FFFF00"/>
                <w:sz w:val="24"/>
                <w:szCs w:val="24"/>
                <w:lang w:val="en-GB"/>
              </w:rPr>
              <w:t xml:space="preserve"> </w:t>
            </w:r>
          </w:p>
        </w:tc>
      </w:tr>
      <w:tr w:rsidR="00E24945" w:rsidRPr="0083254F" w14:paraId="1FBE3C13" w14:textId="77777777" w:rsidTr="00FF493A">
        <w:tc>
          <w:tcPr>
            <w:tcW w:w="6709" w:type="dxa"/>
            <w:gridSpan w:val="2"/>
            <w:shd w:val="clear" w:color="auto" w:fill="F2F2F2" w:themeFill="background1" w:themeFillShade="F2"/>
          </w:tcPr>
          <w:p w14:paraId="6ACCB33E" w14:textId="77777777" w:rsidR="00E24945" w:rsidRPr="0083254F" w:rsidRDefault="00310792" w:rsidP="00F50D6E">
            <w:pPr>
              <w:rPr>
                <w:b/>
                <w:lang w:val="en-GB"/>
              </w:rPr>
            </w:pPr>
            <w:r w:rsidRPr="0083254F">
              <w:rPr>
                <w:b/>
                <w:lang w:val="en-GB"/>
              </w:rPr>
              <w:t>Output</w:t>
            </w:r>
            <w:r w:rsidR="00E24945" w:rsidRPr="0083254F">
              <w:rPr>
                <w:b/>
                <w:lang w:val="en-GB"/>
              </w:rPr>
              <w:t xml:space="preserve"> indicators</w:t>
            </w:r>
          </w:p>
        </w:tc>
        <w:tc>
          <w:tcPr>
            <w:tcW w:w="1249" w:type="dxa"/>
            <w:shd w:val="clear" w:color="auto" w:fill="F2F2F2" w:themeFill="background1" w:themeFillShade="F2"/>
          </w:tcPr>
          <w:p w14:paraId="4A0552ED" w14:textId="77777777" w:rsidR="00E24945" w:rsidRPr="0083254F" w:rsidRDefault="00E24945" w:rsidP="00F50D6E">
            <w:pPr>
              <w:jc w:val="center"/>
              <w:rPr>
                <w:b/>
                <w:lang w:val="en-GB"/>
              </w:rPr>
            </w:pPr>
            <w:r w:rsidRPr="0083254F">
              <w:rPr>
                <w:b/>
                <w:lang w:val="en-GB"/>
              </w:rPr>
              <w:t>Baseline</w:t>
            </w:r>
          </w:p>
        </w:tc>
        <w:tc>
          <w:tcPr>
            <w:tcW w:w="1248" w:type="dxa"/>
            <w:shd w:val="clear" w:color="auto" w:fill="F2F2F2" w:themeFill="background1" w:themeFillShade="F2"/>
          </w:tcPr>
          <w:p w14:paraId="494B1C3F" w14:textId="77777777" w:rsidR="00E24945" w:rsidRPr="0083254F" w:rsidRDefault="00E24945" w:rsidP="00F50D6E">
            <w:pPr>
              <w:jc w:val="center"/>
              <w:rPr>
                <w:b/>
                <w:lang w:val="en-GB"/>
              </w:rPr>
            </w:pPr>
            <w:r w:rsidRPr="0083254F">
              <w:rPr>
                <w:b/>
                <w:lang w:val="en-GB"/>
              </w:rPr>
              <w:t>2018 Target</w:t>
            </w:r>
          </w:p>
        </w:tc>
        <w:tc>
          <w:tcPr>
            <w:tcW w:w="1248" w:type="dxa"/>
            <w:shd w:val="clear" w:color="auto" w:fill="F2F2F2" w:themeFill="background1" w:themeFillShade="F2"/>
          </w:tcPr>
          <w:p w14:paraId="61878808" w14:textId="77777777" w:rsidR="00E24945" w:rsidRPr="0083254F" w:rsidRDefault="00E24945" w:rsidP="00F50D6E">
            <w:pPr>
              <w:jc w:val="center"/>
              <w:rPr>
                <w:b/>
                <w:lang w:val="en-GB"/>
              </w:rPr>
            </w:pPr>
            <w:r w:rsidRPr="0083254F">
              <w:rPr>
                <w:b/>
                <w:lang w:val="en-GB"/>
              </w:rPr>
              <w:t>2019 Target</w:t>
            </w:r>
          </w:p>
        </w:tc>
        <w:tc>
          <w:tcPr>
            <w:tcW w:w="1248" w:type="dxa"/>
            <w:shd w:val="clear" w:color="auto" w:fill="F2F2F2" w:themeFill="background1" w:themeFillShade="F2"/>
          </w:tcPr>
          <w:p w14:paraId="277A915F" w14:textId="77777777" w:rsidR="00E24945" w:rsidRPr="0083254F" w:rsidRDefault="00E24945" w:rsidP="00F50D6E">
            <w:pPr>
              <w:jc w:val="center"/>
              <w:rPr>
                <w:b/>
                <w:lang w:val="en-GB"/>
              </w:rPr>
            </w:pPr>
            <w:r w:rsidRPr="0083254F">
              <w:rPr>
                <w:b/>
                <w:lang w:val="en-GB"/>
              </w:rPr>
              <w:t>2020 Target</w:t>
            </w:r>
          </w:p>
        </w:tc>
        <w:tc>
          <w:tcPr>
            <w:tcW w:w="1248" w:type="dxa"/>
            <w:shd w:val="clear" w:color="auto" w:fill="F2F2F2" w:themeFill="background1" w:themeFillShade="F2"/>
          </w:tcPr>
          <w:p w14:paraId="2427A3A8" w14:textId="77777777" w:rsidR="00E24945" w:rsidRPr="0083254F" w:rsidRDefault="00E24945" w:rsidP="00F50D6E">
            <w:pPr>
              <w:jc w:val="center"/>
              <w:rPr>
                <w:b/>
                <w:lang w:val="en-GB"/>
              </w:rPr>
            </w:pPr>
            <w:r w:rsidRPr="0083254F">
              <w:rPr>
                <w:b/>
                <w:lang w:val="en-GB"/>
              </w:rPr>
              <w:t>2021 Target</w:t>
            </w:r>
          </w:p>
        </w:tc>
      </w:tr>
      <w:tr w:rsidR="00FA5E9F" w:rsidRPr="0083254F" w14:paraId="403C2EFE" w14:textId="77777777" w:rsidTr="00FF493A">
        <w:tc>
          <w:tcPr>
            <w:tcW w:w="532" w:type="dxa"/>
            <w:vMerge w:val="restart"/>
          </w:tcPr>
          <w:p w14:paraId="601368C9" w14:textId="77777777" w:rsidR="00FA5E9F" w:rsidRPr="0083254F" w:rsidRDefault="00FA5E9F" w:rsidP="00FA5E9F">
            <w:pPr>
              <w:rPr>
                <w:lang w:val="en-GB"/>
              </w:rPr>
            </w:pPr>
            <w:r w:rsidRPr="0083254F">
              <w:rPr>
                <w:lang w:val="en-GB"/>
              </w:rPr>
              <w:t>1.3.1</w:t>
            </w:r>
          </w:p>
        </w:tc>
        <w:tc>
          <w:tcPr>
            <w:tcW w:w="6177" w:type="dxa"/>
          </w:tcPr>
          <w:p w14:paraId="63A7D696" w14:textId="705B17F6" w:rsidR="00FA5E9F" w:rsidRPr="003F7B4D" w:rsidRDefault="00E457C5" w:rsidP="00FA5E9F">
            <w:r>
              <w:rPr>
                <w:lang w:val="en-GB"/>
              </w:rPr>
              <w:t>National g</w:t>
            </w:r>
            <w:r w:rsidR="00FA5E9F" w:rsidRPr="00D1100F">
              <w:rPr>
                <w:lang w:val="en-GB"/>
              </w:rPr>
              <w:t xml:space="preserve">overnments </w:t>
            </w:r>
            <w:r w:rsidR="00FA5E9F" w:rsidRPr="003F7B4D">
              <w:rPr>
                <w:lang w:val="en-GB"/>
              </w:rPr>
              <w:t xml:space="preserve">a) developing and b) </w:t>
            </w:r>
            <w:r w:rsidR="00FA5E9F" w:rsidRPr="00D1100F">
              <w:rPr>
                <w:lang w:val="en-GB"/>
              </w:rPr>
              <w:t xml:space="preserve">adopting upgraded national road maps, action plans and national strategies </w:t>
            </w:r>
            <w:r w:rsidR="00FA5E9F" w:rsidRPr="003F7B4D">
              <w:rPr>
                <w:lang w:val="en-GB"/>
              </w:rPr>
              <w:t xml:space="preserve">in areas of financial inclusion </w:t>
            </w:r>
            <w:r w:rsidR="00FA5E9F" w:rsidRPr="00D1100F">
              <w:rPr>
                <w:lang w:val="en-GB"/>
              </w:rPr>
              <w:t>based on UNCDF support</w:t>
            </w:r>
            <w:r w:rsidR="00FA5E9F" w:rsidRPr="00D1100F">
              <w:t xml:space="preserve"> </w:t>
            </w:r>
          </w:p>
        </w:tc>
        <w:tc>
          <w:tcPr>
            <w:tcW w:w="1249" w:type="dxa"/>
          </w:tcPr>
          <w:p w14:paraId="38E02417" w14:textId="0B90FD21" w:rsidR="00FA5E9F" w:rsidRDefault="00FA5E9F" w:rsidP="00FA5E9F">
            <w:r>
              <w:t>a)</w:t>
            </w:r>
            <w:r w:rsidR="00190D9F">
              <w:t xml:space="preserve"> 22</w:t>
            </w:r>
          </w:p>
          <w:p w14:paraId="09D559E7" w14:textId="48E9A293" w:rsidR="00FA5E9F" w:rsidRPr="003F7B4D" w:rsidRDefault="00FA5E9F" w:rsidP="00FA5E9F">
            <w:r>
              <w:t>b)</w:t>
            </w:r>
            <w:r w:rsidR="00190D9F">
              <w:t xml:space="preserve"> 16</w:t>
            </w:r>
          </w:p>
        </w:tc>
        <w:tc>
          <w:tcPr>
            <w:tcW w:w="1248" w:type="dxa"/>
          </w:tcPr>
          <w:p w14:paraId="58E6BAB3" w14:textId="7EB22B7F" w:rsidR="00FA5E9F" w:rsidRDefault="00FA5E9F" w:rsidP="00FA5E9F">
            <w:r>
              <w:t>a)</w:t>
            </w:r>
            <w:r w:rsidR="00190D9F">
              <w:t xml:space="preserve"> 2</w:t>
            </w:r>
            <w:r w:rsidR="000B691A">
              <w:t>8</w:t>
            </w:r>
          </w:p>
          <w:p w14:paraId="26953F51" w14:textId="696F1AD4" w:rsidR="00FA5E9F" w:rsidRPr="0083254F" w:rsidRDefault="00FA5E9F" w:rsidP="00FA5E9F">
            <w:pPr>
              <w:rPr>
                <w:lang w:val="en-GB"/>
              </w:rPr>
            </w:pPr>
            <w:r>
              <w:t>b)</w:t>
            </w:r>
            <w:r w:rsidR="00190D9F">
              <w:t xml:space="preserve"> </w:t>
            </w:r>
            <w:r w:rsidR="000B691A">
              <w:t>20</w:t>
            </w:r>
          </w:p>
        </w:tc>
        <w:tc>
          <w:tcPr>
            <w:tcW w:w="1248" w:type="dxa"/>
          </w:tcPr>
          <w:p w14:paraId="46AADB8B" w14:textId="2BB9295F" w:rsidR="00FA5E9F" w:rsidRDefault="00FA5E9F" w:rsidP="00FA5E9F">
            <w:r>
              <w:t>a)</w:t>
            </w:r>
            <w:r w:rsidR="00190D9F">
              <w:t xml:space="preserve"> </w:t>
            </w:r>
            <w:r w:rsidR="000B691A">
              <w:t>30</w:t>
            </w:r>
          </w:p>
          <w:p w14:paraId="23B54A86" w14:textId="2494018D" w:rsidR="00FA5E9F" w:rsidRPr="0083254F" w:rsidRDefault="00FA5E9F" w:rsidP="00FA5E9F">
            <w:pPr>
              <w:rPr>
                <w:lang w:val="en-GB"/>
              </w:rPr>
            </w:pPr>
            <w:r>
              <w:t>b)</w:t>
            </w:r>
            <w:r w:rsidR="00190D9F">
              <w:t xml:space="preserve"> 2</w:t>
            </w:r>
            <w:r w:rsidR="009C3B56">
              <w:t>4</w:t>
            </w:r>
          </w:p>
        </w:tc>
        <w:tc>
          <w:tcPr>
            <w:tcW w:w="1248" w:type="dxa"/>
          </w:tcPr>
          <w:p w14:paraId="7CF8C726" w14:textId="155BF22E" w:rsidR="00FA5E9F" w:rsidRDefault="00FA5E9F" w:rsidP="00FA5E9F">
            <w:r>
              <w:t>a)</w:t>
            </w:r>
            <w:r w:rsidR="00190D9F">
              <w:t xml:space="preserve"> </w:t>
            </w:r>
            <w:r w:rsidR="000B691A">
              <w:t>32</w:t>
            </w:r>
          </w:p>
          <w:p w14:paraId="6EFD0027" w14:textId="39DC5465" w:rsidR="00FA5E9F" w:rsidRPr="0083254F" w:rsidRDefault="00FA5E9F" w:rsidP="00FA5E9F">
            <w:pPr>
              <w:rPr>
                <w:lang w:val="en-GB"/>
              </w:rPr>
            </w:pPr>
            <w:r>
              <w:t>b)</w:t>
            </w:r>
            <w:r w:rsidR="00190D9F">
              <w:t xml:space="preserve"> 2</w:t>
            </w:r>
            <w:r w:rsidR="009C3B56">
              <w:t>7</w:t>
            </w:r>
          </w:p>
        </w:tc>
        <w:tc>
          <w:tcPr>
            <w:tcW w:w="1248" w:type="dxa"/>
          </w:tcPr>
          <w:p w14:paraId="7AFBC20A" w14:textId="261701EF" w:rsidR="00FA5E9F" w:rsidRDefault="00FA5E9F" w:rsidP="00FA5E9F">
            <w:r>
              <w:t>a)</w:t>
            </w:r>
            <w:r w:rsidR="00190D9F">
              <w:t xml:space="preserve"> </w:t>
            </w:r>
            <w:r w:rsidR="000B691A">
              <w:t>32</w:t>
            </w:r>
          </w:p>
          <w:p w14:paraId="274FECCD" w14:textId="2B89E5EE" w:rsidR="00FA5E9F" w:rsidRPr="0083254F" w:rsidRDefault="00FA5E9F" w:rsidP="00FA5E9F">
            <w:pPr>
              <w:rPr>
                <w:lang w:val="en-GB"/>
              </w:rPr>
            </w:pPr>
            <w:r>
              <w:t>b)</w:t>
            </w:r>
            <w:r w:rsidR="00190D9F">
              <w:t xml:space="preserve"> </w:t>
            </w:r>
            <w:r w:rsidR="009C3B56">
              <w:t>30</w:t>
            </w:r>
          </w:p>
        </w:tc>
      </w:tr>
      <w:tr w:rsidR="00FA5E9F" w:rsidRPr="0083254F" w14:paraId="7219F62C" w14:textId="77777777" w:rsidTr="00FF493A">
        <w:tc>
          <w:tcPr>
            <w:tcW w:w="532" w:type="dxa"/>
            <w:vMerge/>
          </w:tcPr>
          <w:p w14:paraId="5FE39ACA" w14:textId="77777777" w:rsidR="00FA5E9F" w:rsidRPr="0083254F" w:rsidRDefault="00FA5E9F" w:rsidP="00FA5E9F">
            <w:pPr>
              <w:rPr>
                <w:lang w:val="en-GB"/>
              </w:rPr>
            </w:pPr>
          </w:p>
        </w:tc>
        <w:tc>
          <w:tcPr>
            <w:tcW w:w="12418" w:type="dxa"/>
            <w:gridSpan w:val="6"/>
            <w:shd w:val="clear" w:color="auto" w:fill="D0CECE" w:themeFill="background2" w:themeFillShade="E6"/>
          </w:tcPr>
          <w:p w14:paraId="39B63364" w14:textId="4689015B" w:rsidR="00FA5E9F" w:rsidRPr="00D1100F" w:rsidRDefault="00FA5E9F" w:rsidP="00FA5E9F">
            <w:pPr>
              <w:rPr>
                <w:lang w:val="en-GB"/>
              </w:rPr>
            </w:pPr>
            <w:r w:rsidRPr="00D1100F">
              <w:rPr>
                <w:b/>
                <w:lang w:val="en-GB"/>
              </w:rPr>
              <w:t>Related UNCDF IRRM 2014-2017 indicator:</w:t>
            </w:r>
            <w:r w:rsidRPr="00D1100F">
              <w:rPr>
                <w:lang w:val="en-GB"/>
              </w:rPr>
              <w:t xml:space="preserve"> Amended from combining Outcome indicator 3.a. and 3.b. </w:t>
            </w:r>
          </w:p>
          <w:p w14:paraId="1DDE4E69" w14:textId="77777777" w:rsidR="00FA5E9F" w:rsidRPr="00D1100F" w:rsidRDefault="00FA5E9F" w:rsidP="00FA5E9F">
            <w:pPr>
              <w:rPr>
                <w:lang w:val="en-GB"/>
              </w:rPr>
            </w:pPr>
            <w:r w:rsidRPr="00D1100F">
              <w:rPr>
                <w:b/>
                <w:lang w:val="en-GB"/>
              </w:rPr>
              <w:t xml:space="preserve">Data source: </w:t>
            </w:r>
            <w:r w:rsidRPr="00D1100F">
              <w:rPr>
                <w:lang w:val="en-GB"/>
              </w:rPr>
              <w:t>Project reports</w:t>
            </w:r>
          </w:p>
          <w:p w14:paraId="7472C5C4" w14:textId="7F8BD907" w:rsidR="00FA5E9F" w:rsidRPr="00D1100F" w:rsidRDefault="00FA5E9F" w:rsidP="00FA5E9F">
            <w:pPr>
              <w:rPr>
                <w:lang w:val="en-GB"/>
              </w:rPr>
            </w:pPr>
            <w:r w:rsidRPr="00D1100F">
              <w:rPr>
                <w:b/>
                <w:lang w:val="en-GB"/>
              </w:rPr>
              <w:t>Approach to the indicator</w:t>
            </w:r>
            <w:r w:rsidR="004A3BD8">
              <w:rPr>
                <w:b/>
                <w:lang w:val="en-GB"/>
              </w:rPr>
              <w:t xml:space="preserve"> (cumulative)</w:t>
            </w:r>
            <w:r w:rsidRPr="00D1100F">
              <w:rPr>
                <w:b/>
                <w:lang w:val="en-GB"/>
              </w:rPr>
              <w:t>:</w:t>
            </w:r>
            <w:r w:rsidRPr="00D1100F">
              <w:rPr>
                <w:lang w:val="en-GB"/>
              </w:rPr>
              <w:t xml:space="preserve"> Unit of measurement is national governments. </w:t>
            </w:r>
          </w:p>
        </w:tc>
      </w:tr>
      <w:tr w:rsidR="00FA5E9F" w:rsidRPr="0083254F" w14:paraId="6627212A" w14:textId="77777777" w:rsidTr="00FF493A">
        <w:tc>
          <w:tcPr>
            <w:tcW w:w="532" w:type="dxa"/>
            <w:vMerge w:val="restart"/>
          </w:tcPr>
          <w:p w14:paraId="6905ED7E" w14:textId="77777777" w:rsidR="00FA5E9F" w:rsidRPr="0083254F" w:rsidRDefault="00FA5E9F" w:rsidP="00FA5E9F">
            <w:pPr>
              <w:rPr>
                <w:lang w:val="en-GB"/>
              </w:rPr>
            </w:pPr>
            <w:r w:rsidRPr="0083254F">
              <w:rPr>
                <w:lang w:val="en-GB"/>
              </w:rPr>
              <w:t>1.3.2</w:t>
            </w:r>
          </w:p>
        </w:tc>
        <w:tc>
          <w:tcPr>
            <w:tcW w:w="6177" w:type="dxa"/>
          </w:tcPr>
          <w:p w14:paraId="2374F030" w14:textId="4E5941CA" w:rsidR="00FA5E9F" w:rsidRPr="003F7B4D" w:rsidRDefault="00190D9F" w:rsidP="00FA5E9F">
            <w:pPr>
              <w:tabs>
                <w:tab w:val="left" w:pos="2278"/>
              </w:tabs>
            </w:pPr>
            <w:r>
              <w:rPr>
                <w:lang w:val="en-GB"/>
              </w:rPr>
              <w:t>National g</w:t>
            </w:r>
            <w:r w:rsidR="00FA5E9F" w:rsidRPr="00D1100F">
              <w:rPr>
                <w:lang w:val="en-GB"/>
              </w:rPr>
              <w:t xml:space="preserve">overnments </w:t>
            </w:r>
            <w:r w:rsidR="00FA5E9F" w:rsidRPr="003F7B4D">
              <w:rPr>
                <w:lang w:val="en-GB"/>
              </w:rPr>
              <w:t xml:space="preserve">a) developing and b) </w:t>
            </w:r>
            <w:r w:rsidR="00FA5E9F" w:rsidRPr="00D1100F">
              <w:rPr>
                <w:lang w:val="en-GB"/>
              </w:rPr>
              <w:t>adopting upgraded local development finance</w:t>
            </w:r>
            <w:r w:rsidR="00786A4B">
              <w:rPr>
                <w:lang w:val="en-GB"/>
              </w:rPr>
              <w:t xml:space="preserve"> and municipal</w:t>
            </w:r>
            <w:r w:rsidR="00FA5E9F" w:rsidRPr="00D1100F">
              <w:rPr>
                <w:lang w:val="en-GB"/>
              </w:rPr>
              <w:t xml:space="preserve"> strategies, action plans, regulations and policies based on UNCDF support</w:t>
            </w:r>
          </w:p>
        </w:tc>
        <w:tc>
          <w:tcPr>
            <w:tcW w:w="1249" w:type="dxa"/>
          </w:tcPr>
          <w:p w14:paraId="582F2D1D" w14:textId="7C73E655" w:rsidR="00FA5E9F" w:rsidRDefault="00FA5E9F" w:rsidP="00FA5E9F">
            <w:r>
              <w:t>a)</w:t>
            </w:r>
            <w:r w:rsidR="00190D9F">
              <w:t xml:space="preserve"> 11</w:t>
            </w:r>
          </w:p>
          <w:p w14:paraId="24E29CE9" w14:textId="4DA97DDA" w:rsidR="00FA5E9F" w:rsidRPr="0083254F" w:rsidRDefault="00FA5E9F" w:rsidP="00FA5E9F">
            <w:pPr>
              <w:rPr>
                <w:lang w:val="en-GB"/>
              </w:rPr>
            </w:pPr>
            <w:r>
              <w:t>b)</w:t>
            </w:r>
            <w:r w:rsidR="00190D9F">
              <w:t xml:space="preserve"> 2</w:t>
            </w:r>
          </w:p>
        </w:tc>
        <w:tc>
          <w:tcPr>
            <w:tcW w:w="1248" w:type="dxa"/>
          </w:tcPr>
          <w:p w14:paraId="24AA5549" w14:textId="7D8915DE" w:rsidR="00FA5E9F" w:rsidRDefault="00FA5E9F" w:rsidP="00FA5E9F">
            <w:r>
              <w:t>a)</w:t>
            </w:r>
            <w:r w:rsidR="00190D9F">
              <w:t xml:space="preserve"> 13</w:t>
            </w:r>
          </w:p>
          <w:p w14:paraId="3596A5AA" w14:textId="7F69B0BE" w:rsidR="00FA5E9F" w:rsidRPr="0083254F" w:rsidRDefault="00FA5E9F" w:rsidP="00FA5E9F">
            <w:pPr>
              <w:rPr>
                <w:lang w:val="en-GB"/>
              </w:rPr>
            </w:pPr>
            <w:r>
              <w:t>b)</w:t>
            </w:r>
            <w:r w:rsidR="00190D9F">
              <w:t xml:space="preserve"> 3</w:t>
            </w:r>
          </w:p>
        </w:tc>
        <w:tc>
          <w:tcPr>
            <w:tcW w:w="1248" w:type="dxa"/>
          </w:tcPr>
          <w:p w14:paraId="6F5E43EB" w14:textId="6B4865F0" w:rsidR="00FA5E9F" w:rsidRDefault="00FA5E9F" w:rsidP="00FA5E9F">
            <w:r>
              <w:t>a)</w:t>
            </w:r>
            <w:r w:rsidR="00190D9F">
              <w:t xml:space="preserve"> 14</w:t>
            </w:r>
          </w:p>
          <w:p w14:paraId="0E60946C" w14:textId="0210767C" w:rsidR="00FA5E9F" w:rsidRPr="0083254F" w:rsidRDefault="00FA5E9F" w:rsidP="00FA5E9F">
            <w:pPr>
              <w:rPr>
                <w:lang w:val="en-GB"/>
              </w:rPr>
            </w:pPr>
            <w:r>
              <w:t>b)</w:t>
            </w:r>
            <w:r w:rsidR="00190D9F">
              <w:t xml:space="preserve"> 3</w:t>
            </w:r>
          </w:p>
        </w:tc>
        <w:tc>
          <w:tcPr>
            <w:tcW w:w="1248" w:type="dxa"/>
          </w:tcPr>
          <w:p w14:paraId="2A2AA510" w14:textId="6CDAB509" w:rsidR="00FA5E9F" w:rsidRDefault="00FA5E9F" w:rsidP="00FA5E9F">
            <w:r>
              <w:t>a)</w:t>
            </w:r>
            <w:r w:rsidR="00190D9F">
              <w:t xml:space="preserve"> 15</w:t>
            </w:r>
          </w:p>
          <w:p w14:paraId="410B28A2" w14:textId="15BCC823" w:rsidR="00FA5E9F" w:rsidRPr="0083254F" w:rsidRDefault="00FA5E9F" w:rsidP="00FA5E9F">
            <w:pPr>
              <w:rPr>
                <w:lang w:val="en-GB"/>
              </w:rPr>
            </w:pPr>
            <w:r>
              <w:t>b)</w:t>
            </w:r>
            <w:r w:rsidR="00190D9F">
              <w:t xml:space="preserve"> 4</w:t>
            </w:r>
          </w:p>
        </w:tc>
        <w:tc>
          <w:tcPr>
            <w:tcW w:w="1248" w:type="dxa"/>
          </w:tcPr>
          <w:p w14:paraId="6422B62D" w14:textId="41660949" w:rsidR="00FA5E9F" w:rsidRDefault="00FA5E9F" w:rsidP="00FA5E9F">
            <w:r>
              <w:t>a)</w:t>
            </w:r>
            <w:r w:rsidR="00190D9F">
              <w:t xml:space="preserve"> 16</w:t>
            </w:r>
          </w:p>
          <w:p w14:paraId="22B3C8B2" w14:textId="4A10FC19" w:rsidR="00FA5E9F" w:rsidRPr="0083254F" w:rsidRDefault="00FA5E9F" w:rsidP="00FA5E9F">
            <w:pPr>
              <w:rPr>
                <w:lang w:val="en-GB"/>
              </w:rPr>
            </w:pPr>
            <w:r>
              <w:t>b)</w:t>
            </w:r>
            <w:r w:rsidR="00190D9F">
              <w:t xml:space="preserve"> </w:t>
            </w:r>
            <w:r w:rsidR="00786A4B">
              <w:t>5</w:t>
            </w:r>
          </w:p>
        </w:tc>
      </w:tr>
      <w:tr w:rsidR="00FA5E9F" w:rsidRPr="0083254F" w14:paraId="3B5C5014" w14:textId="77777777" w:rsidTr="00FF493A">
        <w:tc>
          <w:tcPr>
            <w:tcW w:w="532" w:type="dxa"/>
            <w:vMerge/>
          </w:tcPr>
          <w:p w14:paraId="0630338F" w14:textId="77777777" w:rsidR="00FA5E9F" w:rsidRPr="0083254F" w:rsidRDefault="00FA5E9F" w:rsidP="00FA5E9F">
            <w:pPr>
              <w:rPr>
                <w:lang w:val="en-GB"/>
              </w:rPr>
            </w:pPr>
          </w:p>
        </w:tc>
        <w:tc>
          <w:tcPr>
            <w:tcW w:w="12418" w:type="dxa"/>
            <w:gridSpan w:val="6"/>
            <w:shd w:val="clear" w:color="auto" w:fill="D0CECE" w:themeFill="background2" w:themeFillShade="E6"/>
          </w:tcPr>
          <w:p w14:paraId="0236ACA0" w14:textId="0335BA3A" w:rsidR="00FA5E9F" w:rsidRPr="00D1100F" w:rsidRDefault="00FA5E9F" w:rsidP="00FA5E9F">
            <w:pPr>
              <w:rPr>
                <w:lang w:val="en-GB"/>
              </w:rPr>
            </w:pPr>
            <w:r w:rsidRPr="00D1100F">
              <w:rPr>
                <w:b/>
                <w:lang w:val="en-GB"/>
              </w:rPr>
              <w:t>Related UNCDF IRRM 2014-2017 indicator:</w:t>
            </w:r>
            <w:r w:rsidRPr="00D1100F">
              <w:rPr>
                <w:lang w:val="en-GB"/>
              </w:rPr>
              <w:t xml:space="preserve"> Amended from combining Outcome indicator 3.b. </w:t>
            </w:r>
          </w:p>
          <w:p w14:paraId="06892808" w14:textId="77777777" w:rsidR="00FA5E9F" w:rsidRPr="00D1100F" w:rsidRDefault="00FA5E9F" w:rsidP="00FA5E9F">
            <w:pPr>
              <w:rPr>
                <w:lang w:val="en-GB"/>
              </w:rPr>
            </w:pPr>
            <w:r w:rsidRPr="00D1100F">
              <w:rPr>
                <w:b/>
                <w:lang w:val="en-GB"/>
              </w:rPr>
              <w:t xml:space="preserve">Data source: </w:t>
            </w:r>
            <w:r w:rsidRPr="00D1100F">
              <w:rPr>
                <w:lang w:val="en-GB"/>
              </w:rPr>
              <w:t>Project reports</w:t>
            </w:r>
          </w:p>
          <w:p w14:paraId="56D16D56" w14:textId="3F6D546B" w:rsidR="00FA5E9F" w:rsidRPr="00D1100F" w:rsidRDefault="00FA5E9F" w:rsidP="00FA5E9F">
            <w:pPr>
              <w:rPr>
                <w:lang w:val="en-GB"/>
              </w:rPr>
            </w:pPr>
            <w:r w:rsidRPr="00D1100F">
              <w:rPr>
                <w:b/>
                <w:lang w:val="en-GB"/>
              </w:rPr>
              <w:t>Approach to the indicator</w:t>
            </w:r>
            <w:r w:rsidR="004A3BD8">
              <w:rPr>
                <w:b/>
                <w:lang w:val="en-GB"/>
              </w:rPr>
              <w:t xml:space="preserve"> (cumulative)</w:t>
            </w:r>
            <w:r w:rsidRPr="00D1100F">
              <w:rPr>
                <w:b/>
                <w:lang w:val="en-GB"/>
              </w:rPr>
              <w:t xml:space="preserve">: </w:t>
            </w:r>
            <w:r w:rsidRPr="00D1100F">
              <w:rPr>
                <w:lang w:val="en-GB"/>
              </w:rPr>
              <w:t xml:space="preserve">Unit of measurement is </w:t>
            </w:r>
            <w:r w:rsidR="00190D9F">
              <w:rPr>
                <w:lang w:val="en-GB"/>
              </w:rPr>
              <w:t xml:space="preserve">national </w:t>
            </w:r>
            <w:r w:rsidRPr="00D1100F">
              <w:rPr>
                <w:lang w:val="en-GB"/>
              </w:rPr>
              <w:t xml:space="preserve">governments. </w:t>
            </w:r>
          </w:p>
        </w:tc>
      </w:tr>
      <w:tr w:rsidR="008156E7" w:rsidRPr="0083254F" w14:paraId="77D2523B" w14:textId="77777777" w:rsidTr="002A040B">
        <w:trPr>
          <w:trHeight w:val="70"/>
        </w:trPr>
        <w:tc>
          <w:tcPr>
            <w:tcW w:w="532" w:type="dxa"/>
            <w:vMerge w:val="restart"/>
          </w:tcPr>
          <w:p w14:paraId="5F78E3A2" w14:textId="77777777" w:rsidR="008156E7" w:rsidRPr="0083254F" w:rsidRDefault="008156E7" w:rsidP="008156E7">
            <w:pPr>
              <w:rPr>
                <w:lang w:val="en-GB"/>
              </w:rPr>
            </w:pPr>
            <w:bookmarkStart w:id="5" w:name="_Hlk498692938"/>
            <w:r w:rsidRPr="0083254F">
              <w:rPr>
                <w:lang w:val="en-GB"/>
              </w:rPr>
              <w:t>1.3.3</w:t>
            </w:r>
          </w:p>
        </w:tc>
        <w:tc>
          <w:tcPr>
            <w:tcW w:w="6177" w:type="dxa"/>
          </w:tcPr>
          <w:p w14:paraId="3BC1ABEC" w14:textId="13112134" w:rsidR="008156E7" w:rsidRPr="00D1100F" w:rsidRDefault="008156E7" w:rsidP="008156E7">
            <w:pPr>
              <w:rPr>
                <w:lang w:val="en-GB"/>
              </w:rPr>
            </w:pPr>
            <w:r>
              <w:t xml:space="preserve">Evidence of the influence of UNCDF knowledge products </w:t>
            </w:r>
            <w:r w:rsidR="00AB5051">
              <w:t>on decision-</w:t>
            </w:r>
            <w:r>
              <w:t>makers, thought leaders and peer networks</w:t>
            </w:r>
          </w:p>
        </w:tc>
        <w:tc>
          <w:tcPr>
            <w:tcW w:w="1249" w:type="dxa"/>
          </w:tcPr>
          <w:p w14:paraId="0FED500F" w14:textId="41F70CE1" w:rsidR="008156E7" w:rsidRPr="00B56D94" w:rsidRDefault="00AB5051" w:rsidP="008156E7">
            <w:pPr>
              <w:rPr>
                <w:sz w:val="20"/>
                <w:szCs w:val="20"/>
                <w:lang w:val="en-GB"/>
              </w:rPr>
            </w:pPr>
            <w:r>
              <w:rPr>
                <w:sz w:val="20"/>
                <w:szCs w:val="20"/>
                <w:lang w:val="en-GB"/>
              </w:rPr>
              <w:t xml:space="preserve">UNCDF knowledge products informed policies in </w:t>
            </w:r>
            <w:r w:rsidR="004C1E87">
              <w:rPr>
                <w:sz w:val="20"/>
                <w:szCs w:val="20"/>
                <w:lang w:val="en-GB"/>
              </w:rPr>
              <w:t>2</w:t>
            </w:r>
            <w:r w:rsidR="00C6266F">
              <w:rPr>
                <w:sz w:val="20"/>
                <w:szCs w:val="20"/>
                <w:lang w:val="en-GB"/>
              </w:rPr>
              <w:t>0</w:t>
            </w:r>
            <w:r>
              <w:rPr>
                <w:sz w:val="20"/>
                <w:szCs w:val="20"/>
                <w:lang w:val="en-GB"/>
              </w:rPr>
              <w:t xml:space="preserve"> </w:t>
            </w:r>
            <w:r>
              <w:rPr>
                <w:sz w:val="20"/>
                <w:szCs w:val="20"/>
                <w:lang w:val="en-GB"/>
              </w:rPr>
              <w:lastRenderedPageBreak/>
              <w:t>LDCs and 50% of partners have refer</w:t>
            </w:r>
            <w:r w:rsidR="00BF63C1">
              <w:rPr>
                <w:sz w:val="20"/>
                <w:szCs w:val="20"/>
                <w:lang w:val="en-GB"/>
              </w:rPr>
              <w:t>red to the knowledge products</w:t>
            </w:r>
            <w:r w:rsidR="00C6266F">
              <w:rPr>
                <w:sz w:val="20"/>
                <w:szCs w:val="20"/>
                <w:lang w:val="en-GB"/>
              </w:rPr>
              <w:t xml:space="preserve"> based on partnership survey of selective programmes</w:t>
            </w:r>
            <w:r w:rsidR="00BF63C1">
              <w:rPr>
                <w:sz w:val="20"/>
                <w:szCs w:val="20"/>
                <w:lang w:val="en-GB"/>
              </w:rPr>
              <w:t xml:space="preserve">. </w:t>
            </w:r>
          </w:p>
        </w:tc>
        <w:tc>
          <w:tcPr>
            <w:tcW w:w="1248" w:type="dxa"/>
          </w:tcPr>
          <w:p w14:paraId="1E250254" w14:textId="05029A85" w:rsidR="008156E7" w:rsidRPr="00B56D94" w:rsidRDefault="008156E7" w:rsidP="008156E7">
            <w:pPr>
              <w:rPr>
                <w:sz w:val="20"/>
                <w:szCs w:val="20"/>
                <w:lang w:val="en-GB"/>
              </w:rPr>
            </w:pPr>
          </w:p>
        </w:tc>
        <w:tc>
          <w:tcPr>
            <w:tcW w:w="1248" w:type="dxa"/>
          </w:tcPr>
          <w:p w14:paraId="0CD710CF" w14:textId="21319BEE" w:rsidR="008156E7" w:rsidRPr="00B56D94" w:rsidRDefault="00AB5051" w:rsidP="008156E7">
            <w:pPr>
              <w:rPr>
                <w:sz w:val="20"/>
                <w:szCs w:val="20"/>
                <w:lang w:val="en-GB"/>
              </w:rPr>
            </w:pPr>
            <w:r>
              <w:rPr>
                <w:sz w:val="20"/>
                <w:szCs w:val="20"/>
                <w:lang w:val="en-GB"/>
              </w:rPr>
              <w:t xml:space="preserve">UNCDF knowledge products informed policies in </w:t>
            </w:r>
            <w:r w:rsidR="00C6266F">
              <w:rPr>
                <w:sz w:val="20"/>
                <w:szCs w:val="20"/>
                <w:lang w:val="en-GB"/>
              </w:rPr>
              <w:t>23</w:t>
            </w:r>
            <w:r>
              <w:rPr>
                <w:sz w:val="20"/>
                <w:szCs w:val="20"/>
                <w:lang w:val="en-GB"/>
              </w:rPr>
              <w:t xml:space="preserve"> </w:t>
            </w:r>
            <w:r>
              <w:rPr>
                <w:sz w:val="20"/>
                <w:szCs w:val="20"/>
                <w:lang w:val="en-GB"/>
              </w:rPr>
              <w:lastRenderedPageBreak/>
              <w:t>LDCs and 60% of partners</w:t>
            </w:r>
            <w:r w:rsidR="009C3B56">
              <w:rPr>
                <w:sz w:val="20"/>
                <w:szCs w:val="20"/>
                <w:lang w:val="en-GB"/>
              </w:rPr>
              <w:t xml:space="preserve"> including </w:t>
            </w:r>
            <w:r>
              <w:rPr>
                <w:sz w:val="20"/>
                <w:szCs w:val="20"/>
                <w:lang w:val="en-GB"/>
              </w:rPr>
              <w:t>have referred to the knowledge products</w:t>
            </w:r>
            <w:r w:rsidR="009C3B56">
              <w:rPr>
                <w:sz w:val="20"/>
                <w:szCs w:val="20"/>
                <w:lang w:val="en-GB"/>
              </w:rPr>
              <w:t xml:space="preserve"> including OECD, WB, other UN agencies</w:t>
            </w:r>
            <w:r>
              <w:rPr>
                <w:sz w:val="20"/>
                <w:szCs w:val="20"/>
                <w:lang w:val="en-GB"/>
              </w:rPr>
              <w:t xml:space="preserve">.  </w:t>
            </w:r>
          </w:p>
        </w:tc>
        <w:tc>
          <w:tcPr>
            <w:tcW w:w="1248" w:type="dxa"/>
          </w:tcPr>
          <w:p w14:paraId="31AC82D5" w14:textId="77777777" w:rsidR="008156E7" w:rsidRPr="00B56D94" w:rsidRDefault="008156E7" w:rsidP="008156E7">
            <w:pPr>
              <w:rPr>
                <w:sz w:val="20"/>
                <w:szCs w:val="20"/>
                <w:lang w:val="en-GB"/>
              </w:rPr>
            </w:pPr>
          </w:p>
        </w:tc>
        <w:tc>
          <w:tcPr>
            <w:tcW w:w="1248" w:type="dxa"/>
          </w:tcPr>
          <w:p w14:paraId="4223F09B" w14:textId="5CBD437C" w:rsidR="008156E7" w:rsidRPr="00B56D94" w:rsidRDefault="00AB5051" w:rsidP="008156E7">
            <w:pPr>
              <w:rPr>
                <w:sz w:val="20"/>
                <w:szCs w:val="20"/>
                <w:lang w:val="en-GB"/>
              </w:rPr>
            </w:pPr>
            <w:r>
              <w:rPr>
                <w:sz w:val="20"/>
                <w:szCs w:val="20"/>
                <w:lang w:val="en-GB"/>
              </w:rPr>
              <w:t xml:space="preserve">UNCDF knowledge products informed policies in </w:t>
            </w:r>
            <w:r w:rsidR="00C6266F">
              <w:rPr>
                <w:sz w:val="20"/>
                <w:szCs w:val="20"/>
                <w:lang w:val="en-GB"/>
              </w:rPr>
              <w:t>26</w:t>
            </w:r>
            <w:r>
              <w:rPr>
                <w:sz w:val="20"/>
                <w:szCs w:val="20"/>
                <w:lang w:val="en-GB"/>
              </w:rPr>
              <w:t xml:space="preserve"> </w:t>
            </w:r>
            <w:r>
              <w:rPr>
                <w:sz w:val="20"/>
                <w:szCs w:val="20"/>
                <w:lang w:val="en-GB"/>
              </w:rPr>
              <w:lastRenderedPageBreak/>
              <w:t>LDCs and 70% of partners have referred to the knowledge products</w:t>
            </w:r>
            <w:r w:rsidR="009C3B56">
              <w:rPr>
                <w:sz w:val="20"/>
                <w:szCs w:val="20"/>
                <w:lang w:val="en-GB"/>
              </w:rPr>
              <w:t xml:space="preserve"> including </w:t>
            </w:r>
            <w:r w:rsidR="004C1E87">
              <w:rPr>
                <w:sz w:val="20"/>
                <w:szCs w:val="20"/>
                <w:lang w:val="en-GB"/>
              </w:rPr>
              <w:t xml:space="preserve">OECD, WB, </w:t>
            </w:r>
            <w:r w:rsidR="009C3B56">
              <w:rPr>
                <w:sz w:val="20"/>
                <w:szCs w:val="20"/>
                <w:lang w:val="en-GB"/>
              </w:rPr>
              <w:t>other UN agencies</w:t>
            </w:r>
            <w:r>
              <w:rPr>
                <w:sz w:val="20"/>
                <w:szCs w:val="20"/>
                <w:lang w:val="en-GB"/>
              </w:rPr>
              <w:t xml:space="preserve">.  </w:t>
            </w:r>
          </w:p>
        </w:tc>
      </w:tr>
      <w:bookmarkEnd w:id="5"/>
      <w:tr w:rsidR="008156E7" w:rsidRPr="0083254F" w14:paraId="5E96B700" w14:textId="77777777" w:rsidTr="00FF493A">
        <w:tc>
          <w:tcPr>
            <w:tcW w:w="532" w:type="dxa"/>
            <w:vMerge/>
          </w:tcPr>
          <w:p w14:paraId="5AA99F29" w14:textId="77777777" w:rsidR="008156E7" w:rsidRPr="0083254F" w:rsidRDefault="008156E7" w:rsidP="008156E7">
            <w:pPr>
              <w:rPr>
                <w:lang w:val="en-GB"/>
              </w:rPr>
            </w:pPr>
          </w:p>
        </w:tc>
        <w:tc>
          <w:tcPr>
            <w:tcW w:w="12418" w:type="dxa"/>
            <w:gridSpan w:val="6"/>
            <w:shd w:val="clear" w:color="auto" w:fill="D0CECE" w:themeFill="background2" w:themeFillShade="E6"/>
          </w:tcPr>
          <w:p w14:paraId="384BE04E" w14:textId="7EAB7BC5" w:rsidR="008156E7" w:rsidRPr="0083254F" w:rsidRDefault="008156E7" w:rsidP="008156E7">
            <w:pPr>
              <w:rPr>
                <w:lang w:val="en-GB"/>
              </w:rPr>
            </w:pPr>
            <w:r w:rsidRPr="0083254F">
              <w:rPr>
                <w:b/>
                <w:lang w:val="en-GB"/>
              </w:rPr>
              <w:t>Related UNCDF IRRM 2014-2017 indicator:</w:t>
            </w:r>
            <w:r w:rsidRPr="0083254F">
              <w:rPr>
                <w:lang w:val="en-GB"/>
              </w:rPr>
              <w:t xml:space="preserve"> </w:t>
            </w:r>
            <w:r>
              <w:rPr>
                <w:lang w:val="en-GB"/>
              </w:rPr>
              <w:t>New</w:t>
            </w:r>
          </w:p>
          <w:p w14:paraId="51E8E634" w14:textId="13B83BBD" w:rsidR="008156E7" w:rsidRPr="0083254F" w:rsidRDefault="008156E7" w:rsidP="008156E7">
            <w:pPr>
              <w:rPr>
                <w:lang w:val="en-GB"/>
              </w:rPr>
            </w:pPr>
            <w:r w:rsidRPr="0083254F">
              <w:rPr>
                <w:b/>
                <w:lang w:val="en-GB"/>
              </w:rPr>
              <w:t>Data source:</w:t>
            </w:r>
            <w:r w:rsidRPr="0083254F">
              <w:rPr>
                <w:lang w:val="en-GB"/>
              </w:rPr>
              <w:t xml:space="preserve"> HQ</w:t>
            </w:r>
            <w:r>
              <w:rPr>
                <w:lang w:val="en-GB"/>
              </w:rPr>
              <w:t>, Google Scholar citations</w:t>
            </w:r>
          </w:p>
          <w:p w14:paraId="6ED438DF" w14:textId="514A0E52" w:rsidR="008156E7" w:rsidRPr="0083254F" w:rsidRDefault="008156E7" w:rsidP="008156E7">
            <w:pPr>
              <w:rPr>
                <w:lang w:val="en-GB"/>
              </w:rPr>
            </w:pPr>
            <w:r w:rsidRPr="0083254F">
              <w:rPr>
                <w:b/>
                <w:lang w:val="en-GB"/>
              </w:rPr>
              <w:t>Approach to the indicator</w:t>
            </w:r>
            <w:r w:rsidR="004A3BD8">
              <w:rPr>
                <w:b/>
                <w:lang w:val="en-GB"/>
              </w:rPr>
              <w:t xml:space="preserve"> (incremental)</w:t>
            </w:r>
            <w:r w:rsidRPr="0083254F">
              <w:rPr>
                <w:b/>
                <w:lang w:val="en-GB"/>
              </w:rPr>
              <w:t>:</w:t>
            </w:r>
            <w:r w:rsidRPr="0083254F">
              <w:rPr>
                <w:lang w:val="en-GB"/>
              </w:rPr>
              <w:t xml:space="preserve"> </w:t>
            </w:r>
            <w:r>
              <w:rPr>
                <w:lang w:val="en-GB"/>
              </w:rPr>
              <w:t>Knowledge products refer to flagship reports, case studies, manuals, guidelines, data sets, toolkits and others developed by UNCDF. Evidence will track and report both level of usage and readership focused on peer networks, policymakers and thought leaders</w:t>
            </w:r>
            <w:r w:rsidR="00AB5051">
              <w:rPr>
                <w:lang w:val="en-GB"/>
              </w:rPr>
              <w:t xml:space="preserve">. Targets are only set </w:t>
            </w:r>
            <w:r w:rsidR="004A3BD8">
              <w:rPr>
                <w:lang w:val="en-GB"/>
              </w:rPr>
              <w:t xml:space="preserve">for 2019 and 2021, but we will be reporting every year. </w:t>
            </w:r>
          </w:p>
        </w:tc>
      </w:tr>
    </w:tbl>
    <w:p w14:paraId="5D450724" w14:textId="77777777" w:rsidR="008156E7" w:rsidRDefault="008156E7" w:rsidP="001149E8">
      <w:pPr>
        <w:spacing w:after="0" w:line="240" w:lineRule="auto"/>
        <w:rPr>
          <w:b/>
          <w:sz w:val="26"/>
          <w:szCs w:val="26"/>
          <w:lang w:val="en-GB"/>
        </w:rPr>
      </w:pPr>
    </w:p>
    <w:p w14:paraId="24AE7DBB" w14:textId="7D98781E" w:rsidR="001149E8" w:rsidRPr="0083254F" w:rsidRDefault="001149E8" w:rsidP="001149E8">
      <w:pPr>
        <w:spacing w:after="0" w:line="240" w:lineRule="auto"/>
        <w:rPr>
          <w:b/>
          <w:sz w:val="26"/>
          <w:szCs w:val="26"/>
          <w:lang w:val="en-GB"/>
        </w:rPr>
      </w:pPr>
      <w:r w:rsidRPr="0083254F">
        <w:rPr>
          <w:b/>
          <w:sz w:val="26"/>
          <w:szCs w:val="26"/>
          <w:lang w:val="en-GB"/>
        </w:rPr>
        <w:t>Institutional Effectiveness Indicators</w:t>
      </w:r>
    </w:p>
    <w:p w14:paraId="551A2BD9" w14:textId="77777777" w:rsidR="001149E8" w:rsidRDefault="001149E8" w:rsidP="00D70690">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750"/>
        <w:gridCol w:w="5889"/>
        <w:gridCol w:w="1356"/>
        <w:gridCol w:w="1311"/>
        <w:gridCol w:w="1245"/>
        <w:gridCol w:w="1245"/>
        <w:gridCol w:w="1250"/>
      </w:tblGrid>
      <w:tr w:rsidR="002A33DD" w:rsidRPr="0083254F" w14:paraId="72C03489" w14:textId="77777777" w:rsidTr="00AF42EE">
        <w:trPr>
          <w:trHeight w:val="395"/>
        </w:trPr>
        <w:tc>
          <w:tcPr>
            <w:tcW w:w="12950" w:type="dxa"/>
            <w:gridSpan w:val="7"/>
            <w:shd w:val="clear" w:color="auto" w:fill="BDD6EE" w:themeFill="accent5" w:themeFillTint="66"/>
            <w:vAlign w:val="center"/>
          </w:tcPr>
          <w:p w14:paraId="68111785" w14:textId="0F184E4F" w:rsidR="002A33DD" w:rsidRPr="0083254F" w:rsidRDefault="002A33DD" w:rsidP="00AF42EE">
            <w:pPr>
              <w:rPr>
                <w:lang w:val="en-GB"/>
              </w:rPr>
            </w:pPr>
            <w:r w:rsidRPr="0083254F">
              <w:rPr>
                <w:b/>
                <w:sz w:val="24"/>
                <w:szCs w:val="24"/>
                <w:lang w:val="en-GB"/>
              </w:rPr>
              <w:t xml:space="preserve">Institutional </w:t>
            </w:r>
            <w:r w:rsidR="00F3701B">
              <w:rPr>
                <w:b/>
                <w:sz w:val="24"/>
                <w:szCs w:val="24"/>
                <w:lang w:val="en-GB"/>
              </w:rPr>
              <w:t>Effectives</w:t>
            </w:r>
            <w:r w:rsidRPr="0083254F">
              <w:rPr>
                <w:b/>
                <w:sz w:val="24"/>
                <w:szCs w:val="24"/>
                <w:lang w:val="en-GB"/>
              </w:rPr>
              <w:t xml:space="preserve"> </w:t>
            </w:r>
            <w:r>
              <w:rPr>
                <w:b/>
                <w:sz w:val="24"/>
                <w:szCs w:val="24"/>
                <w:lang w:val="en-GB"/>
              </w:rPr>
              <w:t>1</w:t>
            </w:r>
            <w:r w:rsidRPr="0083254F">
              <w:rPr>
                <w:b/>
                <w:sz w:val="24"/>
                <w:szCs w:val="24"/>
                <w:lang w:val="en-GB"/>
              </w:rPr>
              <w:t xml:space="preserve">: </w:t>
            </w:r>
            <w:r w:rsidR="001C16CF">
              <w:rPr>
                <w:b/>
                <w:sz w:val="24"/>
                <w:szCs w:val="24"/>
                <w:lang w:val="en-GB"/>
              </w:rPr>
              <w:t>Financi</w:t>
            </w:r>
            <w:r w:rsidR="00A76A43">
              <w:rPr>
                <w:b/>
                <w:sz w:val="24"/>
                <w:szCs w:val="24"/>
                <w:lang w:val="en-GB"/>
              </w:rPr>
              <w:t>ng</w:t>
            </w:r>
            <w:r w:rsidR="001C16CF">
              <w:rPr>
                <w:b/>
                <w:sz w:val="24"/>
                <w:szCs w:val="24"/>
                <w:lang w:val="en-GB"/>
              </w:rPr>
              <w:t xml:space="preserve"> model and capital resources</w:t>
            </w:r>
          </w:p>
        </w:tc>
      </w:tr>
      <w:tr w:rsidR="007303E4" w:rsidRPr="0083254F" w14:paraId="218DA3AA" w14:textId="77777777" w:rsidTr="00C666C2">
        <w:tc>
          <w:tcPr>
            <w:tcW w:w="6714" w:type="dxa"/>
            <w:gridSpan w:val="2"/>
            <w:shd w:val="clear" w:color="auto" w:fill="F2F2F2" w:themeFill="background1" w:themeFillShade="F2"/>
          </w:tcPr>
          <w:p w14:paraId="52AC6933" w14:textId="77777777" w:rsidR="002A33DD" w:rsidRPr="0083254F" w:rsidRDefault="002A33DD" w:rsidP="00AF42EE">
            <w:pPr>
              <w:rPr>
                <w:lang w:val="en-GB"/>
              </w:rPr>
            </w:pPr>
            <w:r>
              <w:rPr>
                <w:b/>
                <w:lang w:val="en-GB"/>
              </w:rPr>
              <w:t xml:space="preserve">Institutional Effectiveness </w:t>
            </w:r>
            <w:r w:rsidRPr="0083254F">
              <w:rPr>
                <w:b/>
                <w:lang w:val="en-GB"/>
              </w:rPr>
              <w:t>indicators</w:t>
            </w:r>
          </w:p>
        </w:tc>
        <w:tc>
          <w:tcPr>
            <w:tcW w:w="1248" w:type="dxa"/>
            <w:shd w:val="clear" w:color="auto" w:fill="F2F2F2" w:themeFill="background1" w:themeFillShade="F2"/>
          </w:tcPr>
          <w:p w14:paraId="3B4CA610" w14:textId="77777777" w:rsidR="002A33DD" w:rsidRPr="0083254F" w:rsidRDefault="002A33DD" w:rsidP="00AF42EE">
            <w:pPr>
              <w:rPr>
                <w:lang w:val="en-GB"/>
              </w:rPr>
            </w:pPr>
            <w:r w:rsidRPr="0083254F">
              <w:rPr>
                <w:b/>
                <w:lang w:val="en-GB"/>
              </w:rPr>
              <w:t>Baseline</w:t>
            </w:r>
          </w:p>
        </w:tc>
        <w:tc>
          <w:tcPr>
            <w:tcW w:w="1246" w:type="dxa"/>
            <w:shd w:val="clear" w:color="auto" w:fill="F2F2F2" w:themeFill="background1" w:themeFillShade="F2"/>
          </w:tcPr>
          <w:p w14:paraId="068B9A2B" w14:textId="77777777" w:rsidR="002A33DD" w:rsidRPr="0083254F" w:rsidRDefault="002A33DD" w:rsidP="00AF42EE">
            <w:pPr>
              <w:rPr>
                <w:lang w:val="en-GB"/>
              </w:rPr>
            </w:pPr>
            <w:r w:rsidRPr="0083254F">
              <w:rPr>
                <w:b/>
                <w:lang w:val="en-GB"/>
              </w:rPr>
              <w:t>2018 Target</w:t>
            </w:r>
          </w:p>
        </w:tc>
        <w:tc>
          <w:tcPr>
            <w:tcW w:w="1246" w:type="dxa"/>
            <w:shd w:val="clear" w:color="auto" w:fill="F2F2F2" w:themeFill="background1" w:themeFillShade="F2"/>
          </w:tcPr>
          <w:p w14:paraId="34A61BBE" w14:textId="77777777" w:rsidR="002A33DD" w:rsidRPr="0083254F" w:rsidRDefault="002A33DD" w:rsidP="00AF42EE">
            <w:pPr>
              <w:rPr>
                <w:lang w:val="en-GB"/>
              </w:rPr>
            </w:pPr>
            <w:r w:rsidRPr="0083254F">
              <w:rPr>
                <w:b/>
                <w:lang w:val="en-GB"/>
              </w:rPr>
              <w:t>2019 Target</w:t>
            </w:r>
          </w:p>
        </w:tc>
        <w:tc>
          <w:tcPr>
            <w:tcW w:w="1246" w:type="dxa"/>
            <w:shd w:val="clear" w:color="auto" w:fill="F2F2F2" w:themeFill="background1" w:themeFillShade="F2"/>
          </w:tcPr>
          <w:p w14:paraId="638323BC" w14:textId="77777777" w:rsidR="002A33DD" w:rsidRPr="0083254F" w:rsidRDefault="002A33DD" w:rsidP="00AF42EE">
            <w:pPr>
              <w:rPr>
                <w:lang w:val="en-GB"/>
              </w:rPr>
            </w:pPr>
            <w:r w:rsidRPr="0083254F">
              <w:rPr>
                <w:b/>
                <w:lang w:val="en-GB"/>
              </w:rPr>
              <w:t>2020 Target</w:t>
            </w:r>
          </w:p>
        </w:tc>
        <w:tc>
          <w:tcPr>
            <w:tcW w:w="1250" w:type="dxa"/>
            <w:shd w:val="clear" w:color="auto" w:fill="F2F2F2" w:themeFill="background1" w:themeFillShade="F2"/>
          </w:tcPr>
          <w:p w14:paraId="38FEC9B9" w14:textId="77777777" w:rsidR="002A33DD" w:rsidRPr="0083254F" w:rsidRDefault="002A33DD" w:rsidP="00AF42EE">
            <w:pPr>
              <w:rPr>
                <w:lang w:val="en-GB"/>
              </w:rPr>
            </w:pPr>
            <w:r w:rsidRPr="0083254F">
              <w:rPr>
                <w:b/>
                <w:lang w:val="en-GB"/>
              </w:rPr>
              <w:t>2021 Target</w:t>
            </w:r>
          </w:p>
        </w:tc>
      </w:tr>
      <w:tr w:rsidR="007303E4" w:rsidRPr="0083254F" w14:paraId="1765470B" w14:textId="77777777" w:rsidTr="00C666C2">
        <w:tc>
          <w:tcPr>
            <w:tcW w:w="751" w:type="dxa"/>
            <w:vMerge w:val="restart"/>
          </w:tcPr>
          <w:p w14:paraId="51CC61FC" w14:textId="77777777" w:rsidR="002A33DD" w:rsidRPr="0083254F" w:rsidRDefault="002A33DD" w:rsidP="00AF42EE">
            <w:pPr>
              <w:rPr>
                <w:lang w:val="en-GB"/>
              </w:rPr>
            </w:pPr>
            <w:r w:rsidRPr="0083254F">
              <w:rPr>
                <w:lang w:val="en-GB"/>
              </w:rPr>
              <w:t>IE</w:t>
            </w:r>
            <w:r w:rsidR="007C4D84">
              <w:rPr>
                <w:lang w:val="en-GB"/>
              </w:rPr>
              <w:t>1</w:t>
            </w:r>
            <w:r w:rsidRPr="0083254F">
              <w:rPr>
                <w:lang w:val="en-GB"/>
              </w:rPr>
              <w:t>.1</w:t>
            </w:r>
          </w:p>
        </w:tc>
        <w:tc>
          <w:tcPr>
            <w:tcW w:w="5963" w:type="dxa"/>
          </w:tcPr>
          <w:p w14:paraId="28D7E75A" w14:textId="77777777" w:rsidR="002A33DD" w:rsidRPr="0083254F" w:rsidRDefault="002A33DD" w:rsidP="00AF42EE">
            <w:pPr>
              <w:rPr>
                <w:lang w:val="en-GB"/>
              </w:rPr>
            </w:pPr>
            <w:r w:rsidRPr="0083254F">
              <w:rPr>
                <w:lang w:val="en-GB"/>
              </w:rPr>
              <w:t>US$ volume of core resources mobilized (including UNDP contribution)</w:t>
            </w:r>
          </w:p>
        </w:tc>
        <w:tc>
          <w:tcPr>
            <w:tcW w:w="1248" w:type="dxa"/>
          </w:tcPr>
          <w:p w14:paraId="58D1CB2F" w14:textId="7CE5A1E3" w:rsidR="002A33DD" w:rsidRPr="00FE7C74" w:rsidRDefault="008156E7" w:rsidP="00AF42EE">
            <w:pPr>
              <w:rPr>
                <w:lang w:val="en-GB"/>
              </w:rPr>
            </w:pPr>
            <w:r w:rsidRPr="00FE7C74">
              <w:rPr>
                <w:lang w:val="en-GB"/>
              </w:rPr>
              <w:t>$</w:t>
            </w:r>
            <w:r w:rsidR="00AB5051" w:rsidRPr="00FE7C74">
              <w:rPr>
                <w:lang w:val="en-GB"/>
              </w:rPr>
              <w:t>13,071,505</w:t>
            </w:r>
            <w:r w:rsidR="00BA0916" w:rsidRPr="00FE7C74">
              <w:rPr>
                <w:rStyle w:val="FootnoteReference"/>
                <w:color w:val="auto"/>
                <w:lang w:val="en-GB"/>
              </w:rPr>
              <w:footnoteReference w:id="12"/>
            </w:r>
          </w:p>
          <w:p w14:paraId="3B730EB0" w14:textId="77777777" w:rsidR="008156E7" w:rsidRPr="00FE7C74" w:rsidRDefault="008156E7" w:rsidP="00AF42EE">
            <w:pPr>
              <w:rPr>
                <w:lang w:val="en-GB"/>
              </w:rPr>
            </w:pPr>
            <w:r w:rsidRPr="00FE7C74">
              <w:rPr>
                <w:lang w:val="en-GB"/>
              </w:rPr>
              <w:t xml:space="preserve">(UNDP: </w:t>
            </w:r>
          </w:p>
          <w:p w14:paraId="7DD32343" w14:textId="7EB9EE8A" w:rsidR="008156E7" w:rsidRPr="00FE7C74" w:rsidRDefault="008156E7" w:rsidP="00AF42EE">
            <w:pPr>
              <w:rPr>
                <w:lang w:val="en-GB"/>
              </w:rPr>
            </w:pPr>
            <w:r w:rsidRPr="00FE7C74">
              <w:rPr>
                <w:lang w:val="en-GB"/>
              </w:rPr>
              <w:t>$</w:t>
            </w:r>
            <w:r w:rsidR="00AB5051" w:rsidRPr="00FE7C74">
              <w:rPr>
                <w:lang w:val="en-GB"/>
              </w:rPr>
              <w:t>3,471,505</w:t>
            </w:r>
            <w:r w:rsidRPr="00FE7C74">
              <w:rPr>
                <w:lang w:val="en-GB"/>
              </w:rPr>
              <w:t>)</w:t>
            </w:r>
          </w:p>
        </w:tc>
        <w:tc>
          <w:tcPr>
            <w:tcW w:w="1246" w:type="dxa"/>
          </w:tcPr>
          <w:p w14:paraId="686DB98D" w14:textId="4572720A" w:rsidR="002A33DD" w:rsidRPr="00CC09EC" w:rsidRDefault="008156E7" w:rsidP="00AF42EE">
            <w:pPr>
              <w:rPr>
                <w:lang w:val="en-GB"/>
              </w:rPr>
            </w:pPr>
            <w:r>
              <w:rPr>
                <w:lang w:val="en-GB"/>
              </w:rPr>
              <w:t>$</w:t>
            </w:r>
            <w:r w:rsidR="007303E4">
              <w:rPr>
                <w:lang w:val="en-GB"/>
              </w:rPr>
              <w:t>25m</w:t>
            </w:r>
            <w:r w:rsidR="007303E4" w:rsidRPr="00C36148">
              <w:rPr>
                <w:rStyle w:val="FootnoteReference"/>
                <w:color w:val="auto"/>
                <w:lang w:val="en-GB"/>
              </w:rPr>
              <w:footnoteReference w:id="13"/>
            </w:r>
          </w:p>
          <w:p w14:paraId="27FCAAB1" w14:textId="12CB6CF2" w:rsidR="008156E7" w:rsidRPr="0083254F" w:rsidRDefault="008156E7" w:rsidP="00AF42EE">
            <w:pPr>
              <w:rPr>
                <w:lang w:val="en-GB"/>
              </w:rPr>
            </w:pPr>
            <w:r w:rsidRPr="00CC09EC">
              <w:rPr>
                <w:lang w:val="en-GB"/>
              </w:rPr>
              <w:t>(UNDP: $3,875,000)</w:t>
            </w:r>
            <w:r w:rsidR="007303E4" w:rsidRPr="00C36148">
              <w:rPr>
                <w:rStyle w:val="FootnoteReference"/>
                <w:color w:val="auto"/>
                <w:lang w:val="en-GB"/>
              </w:rPr>
              <w:footnoteReference w:id="14"/>
            </w:r>
          </w:p>
        </w:tc>
        <w:tc>
          <w:tcPr>
            <w:tcW w:w="1246" w:type="dxa"/>
          </w:tcPr>
          <w:p w14:paraId="22099A1B" w14:textId="211F3471" w:rsidR="002A33DD" w:rsidRDefault="008156E7" w:rsidP="00AF42EE">
            <w:pPr>
              <w:rPr>
                <w:lang w:val="en-GB"/>
              </w:rPr>
            </w:pPr>
            <w:r>
              <w:rPr>
                <w:lang w:val="en-GB"/>
              </w:rPr>
              <w:t>$</w:t>
            </w:r>
            <w:r w:rsidR="007303E4">
              <w:rPr>
                <w:lang w:val="en-GB"/>
              </w:rPr>
              <w:t>25m</w:t>
            </w:r>
          </w:p>
          <w:p w14:paraId="232D0AC4" w14:textId="5C452D46" w:rsidR="008156E7" w:rsidRPr="0083254F" w:rsidRDefault="008156E7" w:rsidP="00AF42EE">
            <w:pPr>
              <w:rPr>
                <w:lang w:val="en-GB"/>
              </w:rPr>
            </w:pPr>
            <w:r>
              <w:rPr>
                <w:lang w:val="en-GB"/>
              </w:rPr>
              <w:t>(UNDP: $4,075,000)</w:t>
            </w:r>
          </w:p>
        </w:tc>
        <w:tc>
          <w:tcPr>
            <w:tcW w:w="1246" w:type="dxa"/>
          </w:tcPr>
          <w:p w14:paraId="7AA4A12A" w14:textId="452B9330" w:rsidR="002A33DD" w:rsidRDefault="008156E7" w:rsidP="00AF42EE">
            <w:pPr>
              <w:rPr>
                <w:lang w:val="en-GB"/>
              </w:rPr>
            </w:pPr>
            <w:r>
              <w:rPr>
                <w:lang w:val="en-GB"/>
              </w:rPr>
              <w:t>$</w:t>
            </w:r>
            <w:r w:rsidR="007303E4">
              <w:rPr>
                <w:lang w:val="en-GB"/>
              </w:rPr>
              <w:t>25m</w:t>
            </w:r>
          </w:p>
          <w:p w14:paraId="1202B91A" w14:textId="30056F4C" w:rsidR="008156E7" w:rsidRPr="0083254F" w:rsidRDefault="008156E7" w:rsidP="00AF42EE">
            <w:pPr>
              <w:rPr>
                <w:lang w:val="en-GB"/>
              </w:rPr>
            </w:pPr>
            <w:r>
              <w:rPr>
                <w:lang w:val="en-GB"/>
              </w:rPr>
              <w:t>(UNDP:  $4,175,000)</w:t>
            </w:r>
          </w:p>
        </w:tc>
        <w:tc>
          <w:tcPr>
            <w:tcW w:w="1250" w:type="dxa"/>
          </w:tcPr>
          <w:p w14:paraId="6A1ECE51" w14:textId="33BA84DC" w:rsidR="007303E4" w:rsidRDefault="008156E7" w:rsidP="004D1E20">
            <w:pPr>
              <w:rPr>
                <w:lang w:val="en-GB"/>
              </w:rPr>
            </w:pPr>
            <w:r>
              <w:rPr>
                <w:lang w:val="en-GB"/>
              </w:rPr>
              <w:t>$</w:t>
            </w:r>
            <w:r w:rsidR="007303E4">
              <w:rPr>
                <w:lang w:val="en-GB"/>
              </w:rPr>
              <w:t>25m</w:t>
            </w:r>
          </w:p>
          <w:p w14:paraId="0D83E142" w14:textId="32971C20" w:rsidR="008156E7" w:rsidRPr="0083254F" w:rsidRDefault="008156E7" w:rsidP="004D1E20">
            <w:pPr>
              <w:rPr>
                <w:lang w:val="en-GB"/>
              </w:rPr>
            </w:pPr>
            <w:r>
              <w:rPr>
                <w:lang w:val="en-GB"/>
              </w:rPr>
              <w:t>(UNDP: $4,175,000)</w:t>
            </w:r>
          </w:p>
        </w:tc>
      </w:tr>
      <w:tr w:rsidR="002A33DD" w:rsidRPr="008156E7" w14:paraId="0512565B" w14:textId="77777777" w:rsidTr="00C666C2">
        <w:tc>
          <w:tcPr>
            <w:tcW w:w="751" w:type="dxa"/>
            <w:vMerge/>
          </w:tcPr>
          <w:p w14:paraId="23632EF7" w14:textId="77777777" w:rsidR="002A33DD" w:rsidRPr="0083254F" w:rsidRDefault="002A33DD" w:rsidP="00AF42EE">
            <w:pPr>
              <w:rPr>
                <w:lang w:val="en-GB"/>
              </w:rPr>
            </w:pPr>
          </w:p>
        </w:tc>
        <w:tc>
          <w:tcPr>
            <w:tcW w:w="12199" w:type="dxa"/>
            <w:gridSpan w:val="6"/>
            <w:shd w:val="clear" w:color="auto" w:fill="D0CECE" w:themeFill="background2" w:themeFillShade="E6"/>
          </w:tcPr>
          <w:p w14:paraId="2F0D7586" w14:textId="77777777" w:rsidR="002A33DD" w:rsidRPr="00FE7C74" w:rsidRDefault="002A33DD" w:rsidP="00AF42EE">
            <w:pPr>
              <w:rPr>
                <w:lang w:val="en-GB"/>
              </w:rPr>
            </w:pPr>
            <w:r w:rsidRPr="00FE7C74">
              <w:rPr>
                <w:b/>
                <w:lang w:val="en-GB"/>
              </w:rPr>
              <w:t>Related UNCDF IRRM 2014-2017 indicator:</w:t>
            </w:r>
            <w:r w:rsidRPr="00FE7C74">
              <w:rPr>
                <w:lang w:val="en-GB"/>
              </w:rPr>
              <w:t xml:space="preserve"> Institutional Effectiveness indicator 1.2.1</w:t>
            </w:r>
          </w:p>
          <w:p w14:paraId="32626D92" w14:textId="576DDDCC" w:rsidR="002A33DD" w:rsidRPr="00FE7C74" w:rsidRDefault="002A33DD" w:rsidP="00AF42EE">
            <w:r w:rsidRPr="00FE7C74">
              <w:rPr>
                <w:b/>
                <w:lang w:val="fr-FR"/>
              </w:rPr>
              <w:t>Data source:</w:t>
            </w:r>
            <w:r w:rsidRPr="00FE7C74">
              <w:rPr>
                <w:lang w:val="fr-FR"/>
              </w:rPr>
              <w:t xml:space="preserve"> HQ Management Support unit</w:t>
            </w:r>
            <w:r w:rsidR="008156E7" w:rsidRPr="00FE7C74">
              <w:rPr>
                <w:lang w:val="fr-FR"/>
              </w:rPr>
              <w:t xml:space="preserve">. </w:t>
            </w:r>
          </w:p>
        </w:tc>
      </w:tr>
      <w:tr w:rsidR="007303E4" w:rsidRPr="0083254F" w14:paraId="218FBC00" w14:textId="77777777" w:rsidTr="00C666C2">
        <w:tc>
          <w:tcPr>
            <w:tcW w:w="751" w:type="dxa"/>
            <w:vMerge w:val="restart"/>
          </w:tcPr>
          <w:p w14:paraId="2B878C25" w14:textId="77777777" w:rsidR="002A33DD" w:rsidRPr="0083254F" w:rsidRDefault="002A33DD" w:rsidP="00AF42EE">
            <w:pPr>
              <w:rPr>
                <w:lang w:val="en-GB"/>
              </w:rPr>
            </w:pPr>
            <w:r w:rsidRPr="0083254F">
              <w:rPr>
                <w:lang w:val="en-GB"/>
              </w:rPr>
              <w:t>IE</w:t>
            </w:r>
            <w:r w:rsidR="007C4D84">
              <w:rPr>
                <w:lang w:val="en-GB"/>
              </w:rPr>
              <w:t>1</w:t>
            </w:r>
            <w:r w:rsidRPr="0083254F">
              <w:rPr>
                <w:lang w:val="en-GB"/>
              </w:rPr>
              <w:t>.2</w:t>
            </w:r>
          </w:p>
        </w:tc>
        <w:tc>
          <w:tcPr>
            <w:tcW w:w="5963" w:type="dxa"/>
          </w:tcPr>
          <w:p w14:paraId="0A182BEE" w14:textId="2930B89D" w:rsidR="002A33DD" w:rsidRPr="0083254F" w:rsidRDefault="002A33DD" w:rsidP="00AF42EE">
            <w:pPr>
              <w:rPr>
                <w:lang w:val="en-GB"/>
              </w:rPr>
            </w:pPr>
            <w:r w:rsidRPr="0083254F">
              <w:rPr>
                <w:lang w:val="en-GB"/>
              </w:rPr>
              <w:t xml:space="preserve">US$ volume </w:t>
            </w:r>
            <w:r w:rsidR="00F054B1">
              <w:rPr>
                <w:lang w:val="en-GB"/>
              </w:rPr>
              <w:t xml:space="preserve">and percentage </w:t>
            </w:r>
            <w:r w:rsidRPr="0083254F">
              <w:rPr>
                <w:lang w:val="en-GB"/>
              </w:rPr>
              <w:t>of</w:t>
            </w:r>
            <w:r w:rsidR="009D0CE3">
              <w:rPr>
                <w:lang w:val="en-GB"/>
              </w:rPr>
              <w:t xml:space="preserve"> non-core resource mobilized from development partners</w:t>
            </w:r>
          </w:p>
        </w:tc>
        <w:tc>
          <w:tcPr>
            <w:tcW w:w="1248" w:type="dxa"/>
          </w:tcPr>
          <w:p w14:paraId="399103B0" w14:textId="24AC05DC" w:rsidR="002A33DD" w:rsidRPr="00FE7C74" w:rsidRDefault="00AB5051" w:rsidP="00AF42EE">
            <w:pPr>
              <w:rPr>
                <w:lang w:val="en-GB"/>
              </w:rPr>
            </w:pPr>
            <w:r w:rsidRPr="00FE7C74">
              <w:rPr>
                <w:lang w:val="en-GB"/>
              </w:rPr>
              <w:t>$14,006,965</w:t>
            </w:r>
          </w:p>
          <w:p w14:paraId="5C59FDAF" w14:textId="5B05C8A1" w:rsidR="00AB5051" w:rsidRPr="00FE7C74" w:rsidRDefault="00AB5051" w:rsidP="00AF42EE">
            <w:pPr>
              <w:rPr>
                <w:lang w:val="en-GB"/>
              </w:rPr>
            </w:pPr>
            <w:r w:rsidRPr="00FE7C74">
              <w:rPr>
                <w:lang w:val="en-GB"/>
              </w:rPr>
              <w:t>(36%)</w:t>
            </w:r>
            <w:r w:rsidR="002C5BDB" w:rsidRPr="00FE7C74">
              <w:rPr>
                <w:rStyle w:val="FootnoteReference"/>
                <w:color w:val="auto"/>
                <w:lang w:val="en-GB"/>
              </w:rPr>
              <w:footnoteReference w:id="15"/>
            </w:r>
          </w:p>
        </w:tc>
        <w:tc>
          <w:tcPr>
            <w:tcW w:w="1246" w:type="dxa"/>
          </w:tcPr>
          <w:p w14:paraId="5D72D90D" w14:textId="77777777" w:rsidR="002A33DD" w:rsidRDefault="00AB5051" w:rsidP="00AF42EE">
            <w:pPr>
              <w:rPr>
                <w:lang w:val="en-GB"/>
              </w:rPr>
            </w:pPr>
            <w:r>
              <w:rPr>
                <w:lang w:val="en-GB"/>
              </w:rPr>
              <w:t>$14,280,000</w:t>
            </w:r>
          </w:p>
          <w:p w14:paraId="03661392" w14:textId="486CDCC9" w:rsidR="00AB5051" w:rsidRPr="0083254F" w:rsidRDefault="00AB5051" w:rsidP="00AF42EE">
            <w:pPr>
              <w:rPr>
                <w:lang w:val="en-GB"/>
              </w:rPr>
            </w:pPr>
            <w:r>
              <w:rPr>
                <w:lang w:val="en-GB"/>
              </w:rPr>
              <w:t>(36%)</w:t>
            </w:r>
          </w:p>
        </w:tc>
        <w:tc>
          <w:tcPr>
            <w:tcW w:w="1246" w:type="dxa"/>
          </w:tcPr>
          <w:p w14:paraId="1027E20F" w14:textId="77777777" w:rsidR="002A33DD" w:rsidRDefault="00AB5051" w:rsidP="00AF42EE">
            <w:pPr>
              <w:rPr>
                <w:lang w:val="en-GB"/>
              </w:rPr>
            </w:pPr>
            <w:r>
              <w:rPr>
                <w:lang w:val="en-GB"/>
              </w:rPr>
              <w:t>$14,570,000</w:t>
            </w:r>
          </w:p>
          <w:p w14:paraId="7E097837" w14:textId="0EBFDC81" w:rsidR="00AB5051" w:rsidRPr="0083254F" w:rsidRDefault="00AB5051" w:rsidP="00AF42EE">
            <w:pPr>
              <w:rPr>
                <w:lang w:val="en-GB"/>
              </w:rPr>
            </w:pPr>
            <w:r>
              <w:rPr>
                <w:lang w:val="en-GB"/>
              </w:rPr>
              <w:t>(36%)</w:t>
            </w:r>
          </w:p>
        </w:tc>
        <w:tc>
          <w:tcPr>
            <w:tcW w:w="1246" w:type="dxa"/>
          </w:tcPr>
          <w:p w14:paraId="4C55CE51" w14:textId="045F707A" w:rsidR="002A33DD" w:rsidRPr="0083254F" w:rsidRDefault="00AB5051" w:rsidP="00AF42EE">
            <w:pPr>
              <w:rPr>
                <w:lang w:val="en-GB"/>
              </w:rPr>
            </w:pPr>
            <w:r>
              <w:rPr>
                <w:lang w:val="en-GB"/>
              </w:rPr>
              <w:t>$14,860,000 (35%)</w:t>
            </w:r>
          </w:p>
        </w:tc>
        <w:tc>
          <w:tcPr>
            <w:tcW w:w="1250" w:type="dxa"/>
          </w:tcPr>
          <w:p w14:paraId="12D8C87A" w14:textId="3DFEB76B" w:rsidR="002A33DD" w:rsidRPr="0083254F" w:rsidRDefault="00AB5051" w:rsidP="00AF42EE">
            <w:pPr>
              <w:rPr>
                <w:lang w:val="en-GB"/>
              </w:rPr>
            </w:pPr>
            <w:r>
              <w:rPr>
                <w:lang w:val="en-GB"/>
              </w:rPr>
              <w:t>%15,160,000 (35%)</w:t>
            </w:r>
          </w:p>
        </w:tc>
      </w:tr>
      <w:tr w:rsidR="002A33DD" w:rsidRPr="0083254F" w14:paraId="2DEFD86F" w14:textId="77777777" w:rsidTr="00C666C2">
        <w:tc>
          <w:tcPr>
            <w:tcW w:w="751" w:type="dxa"/>
            <w:vMerge/>
          </w:tcPr>
          <w:p w14:paraId="222C1103" w14:textId="77777777" w:rsidR="002A33DD" w:rsidRPr="0083254F" w:rsidRDefault="002A33DD" w:rsidP="00AF42EE">
            <w:pPr>
              <w:rPr>
                <w:lang w:val="en-GB"/>
              </w:rPr>
            </w:pPr>
          </w:p>
        </w:tc>
        <w:tc>
          <w:tcPr>
            <w:tcW w:w="12199" w:type="dxa"/>
            <w:gridSpan w:val="6"/>
            <w:shd w:val="clear" w:color="auto" w:fill="D0CECE" w:themeFill="background2" w:themeFillShade="E6"/>
          </w:tcPr>
          <w:p w14:paraId="0F955EBC" w14:textId="15B1C9AF" w:rsidR="002A33DD" w:rsidRPr="00FE7C74" w:rsidRDefault="002A33DD" w:rsidP="00AF42EE">
            <w:pPr>
              <w:rPr>
                <w:lang w:val="en-GB"/>
              </w:rPr>
            </w:pPr>
            <w:r w:rsidRPr="00FE7C74">
              <w:rPr>
                <w:b/>
                <w:lang w:val="en-GB"/>
              </w:rPr>
              <w:t>Related UNCDF IRRM 2014-2017 indicator:</w:t>
            </w:r>
            <w:r w:rsidRPr="00FE7C74">
              <w:rPr>
                <w:lang w:val="en-GB"/>
              </w:rPr>
              <w:t xml:space="preserve"> </w:t>
            </w:r>
            <w:r w:rsidR="009D0CE3" w:rsidRPr="00FE7C74">
              <w:rPr>
                <w:lang w:val="en-GB"/>
              </w:rPr>
              <w:t xml:space="preserve">Institutional Effectiveness indicators 1.2.2 </w:t>
            </w:r>
          </w:p>
          <w:p w14:paraId="70600013" w14:textId="77777777" w:rsidR="002A33DD" w:rsidRPr="00FE7C74" w:rsidRDefault="002A33DD" w:rsidP="00AF42EE">
            <w:pPr>
              <w:rPr>
                <w:lang w:val="en-GB"/>
              </w:rPr>
            </w:pPr>
            <w:r w:rsidRPr="00FE7C74">
              <w:rPr>
                <w:b/>
                <w:lang w:val="en-GB"/>
              </w:rPr>
              <w:t>Data source:</w:t>
            </w:r>
            <w:r w:rsidRPr="00FE7C74">
              <w:rPr>
                <w:lang w:val="en-GB"/>
              </w:rPr>
              <w:t xml:space="preserve"> HQ Management Support unit</w:t>
            </w:r>
          </w:p>
        </w:tc>
      </w:tr>
      <w:tr w:rsidR="007303E4" w:rsidRPr="0083254F" w14:paraId="2B551BD0" w14:textId="77777777" w:rsidTr="00C666C2">
        <w:tc>
          <w:tcPr>
            <w:tcW w:w="751" w:type="dxa"/>
            <w:vMerge w:val="restart"/>
          </w:tcPr>
          <w:p w14:paraId="654ED3CB" w14:textId="77777777" w:rsidR="00AB5051" w:rsidRPr="0083254F" w:rsidRDefault="00AB5051" w:rsidP="00AB5051">
            <w:pPr>
              <w:rPr>
                <w:lang w:val="en-GB"/>
              </w:rPr>
            </w:pPr>
            <w:r w:rsidRPr="0083254F">
              <w:rPr>
                <w:lang w:val="en-GB"/>
              </w:rPr>
              <w:t>IE</w:t>
            </w:r>
            <w:r>
              <w:rPr>
                <w:lang w:val="en-GB"/>
              </w:rPr>
              <w:t>1</w:t>
            </w:r>
            <w:r w:rsidRPr="0083254F">
              <w:rPr>
                <w:lang w:val="en-GB"/>
              </w:rPr>
              <w:t>.3</w:t>
            </w:r>
          </w:p>
        </w:tc>
        <w:tc>
          <w:tcPr>
            <w:tcW w:w="5963" w:type="dxa"/>
          </w:tcPr>
          <w:p w14:paraId="1C1FF8CD" w14:textId="3455458F" w:rsidR="00AB5051" w:rsidRPr="0083254F" w:rsidRDefault="00AB5051" w:rsidP="00AB5051">
            <w:pPr>
              <w:rPr>
                <w:lang w:val="en-GB"/>
              </w:rPr>
            </w:pPr>
            <w:r w:rsidRPr="0083254F">
              <w:rPr>
                <w:lang w:val="en-GB"/>
              </w:rPr>
              <w:t>US$ volume</w:t>
            </w:r>
            <w:r>
              <w:rPr>
                <w:lang w:val="en-GB"/>
              </w:rPr>
              <w:t xml:space="preserve"> and percentage</w:t>
            </w:r>
            <w:r w:rsidRPr="0083254F">
              <w:rPr>
                <w:lang w:val="en-GB"/>
              </w:rPr>
              <w:t xml:space="preserve"> of </w:t>
            </w:r>
            <w:r>
              <w:rPr>
                <w:lang w:val="en-GB"/>
              </w:rPr>
              <w:t>non-core resource mobilized from private and non-governmental sources</w:t>
            </w:r>
          </w:p>
        </w:tc>
        <w:tc>
          <w:tcPr>
            <w:tcW w:w="1248" w:type="dxa"/>
          </w:tcPr>
          <w:p w14:paraId="11989316" w14:textId="09796655" w:rsidR="00AB5051" w:rsidRPr="00FE7C74" w:rsidRDefault="00AB5051" w:rsidP="00AB5051">
            <w:pPr>
              <w:rPr>
                <w:lang w:val="en-GB"/>
              </w:rPr>
            </w:pPr>
            <w:r w:rsidRPr="00FE7C74">
              <w:rPr>
                <w:lang w:val="en-GB"/>
              </w:rPr>
              <w:t>$13,281,642 (35%)</w:t>
            </w:r>
            <w:r w:rsidR="002C5BDB" w:rsidRPr="00FE7C74">
              <w:rPr>
                <w:rStyle w:val="FootnoteReference"/>
                <w:color w:val="auto"/>
                <w:lang w:val="en-GB"/>
              </w:rPr>
              <w:footnoteReference w:id="16"/>
            </w:r>
          </w:p>
        </w:tc>
        <w:tc>
          <w:tcPr>
            <w:tcW w:w="1246" w:type="dxa"/>
          </w:tcPr>
          <w:p w14:paraId="58574464" w14:textId="77777777" w:rsidR="00AB5051" w:rsidRDefault="00AB5051" w:rsidP="00AB5051">
            <w:pPr>
              <w:rPr>
                <w:lang w:val="en-GB"/>
              </w:rPr>
            </w:pPr>
            <w:r>
              <w:rPr>
                <w:lang w:val="en-GB"/>
              </w:rPr>
              <w:t>$13,945,000</w:t>
            </w:r>
          </w:p>
          <w:p w14:paraId="254F78D4" w14:textId="7B683DA1" w:rsidR="00AB5051" w:rsidRPr="0083254F" w:rsidRDefault="00AB5051" w:rsidP="00AB5051">
            <w:pPr>
              <w:rPr>
                <w:lang w:val="en-GB"/>
              </w:rPr>
            </w:pPr>
            <w:r>
              <w:rPr>
                <w:lang w:val="en-GB"/>
              </w:rPr>
              <w:t>(35%)</w:t>
            </w:r>
          </w:p>
        </w:tc>
        <w:tc>
          <w:tcPr>
            <w:tcW w:w="1246" w:type="dxa"/>
          </w:tcPr>
          <w:p w14:paraId="4CE0D5E3" w14:textId="06EF65C2" w:rsidR="00AB5051" w:rsidRDefault="00AB5051" w:rsidP="00AB5051">
            <w:pPr>
              <w:rPr>
                <w:lang w:val="en-GB"/>
              </w:rPr>
            </w:pPr>
            <w:r>
              <w:rPr>
                <w:lang w:val="en-GB"/>
              </w:rPr>
              <w:t>$14,643,000</w:t>
            </w:r>
          </w:p>
          <w:p w14:paraId="74DB1B94" w14:textId="506543AA" w:rsidR="00AB5051" w:rsidRPr="0083254F" w:rsidRDefault="00AB5051" w:rsidP="00AB5051">
            <w:pPr>
              <w:rPr>
                <w:lang w:val="en-GB"/>
              </w:rPr>
            </w:pPr>
            <w:r>
              <w:rPr>
                <w:lang w:val="en-GB"/>
              </w:rPr>
              <w:t>(36%)</w:t>
            </w:r>
          </w:p>
        </w:tc>
        <w:tc>
          <w:tcPr>
            <w:tcW w:w="1246" w:type="dxa"/>
          </w:tcPr>
          <w:p w14:paraId="077C4194" w14:textId="26658C5D" w:rsidR="00AB5051" w:rsidRDefault="00AB5051" w:rsidP="00AB5051">
            <w:pPr>
              <w:rPr>
                <w:lang w:val="en-GB"/>
              </w:rPr>
            </w:pPr>
            <w:r>
              <w:rPr>
                <w:lang w:val="en-GB"/>
              </w:rPr>
              <w:t>$15,375,000</w:t>
            </w:r>
          </w:p>
          <w:p w14:paraId="14BDF04F" w14:textId="2A25DB36" w:rsidR="00AB5051" w:rsidRPr="0083254F" w:rsidRDefault="00AB5051" w:rsidP="00AB5051">
            <w:pPr>
              <w:rPr>
                <w:lang w:val="en-GB"/>
              </w:rPr>
            </w:pPr>
            <w:r>
              <w:rPr>
                <w:lang w:val="en-GB"/>
              </w:rPr>
              <w:t>(37%)</w:t>
            </w:r>
          </w:p>
        </w:tc>
        <w:tc>
          <w:tcPr>
            <w:tcW w:w="1250" w:type="dxa"/>
          </w:tcPr>
          <w:p w14:paraId="3C3B146B" w14:textId="2AE3BBE1" w:rsidR="00AB5051" w:rsidRDefault="00AB5051" w:rsidP="00AB5051">
            <w:pPr>
              <w:rPr>
                <w:lang w:val="en-GB"/>
              </w:rPr>
            </w:pPr>
            <w:r>
              <w:rPr>
                <w:lang w:val="en-GB"/>
              </w:rPr>
              <w:t>$16,143,000</w:t>
            </w:r>
          </w:p>
          <w:p w14:paraId="55B8BDC5" w14:textId="785F53DA" w:rsidR="00AB5051" w:rsidRPr="0083254F" w:rsidRDefault="00AB5051" w:rsidP="00AB5051">
            <w:pPr>
              <w:rPr>
                <w:lang w:val="en-GB"/>
              </w:rPr>
            </w:pPr>
            <w:r>
              <w:rPr>
                <w:lang w:val="en-GB"/>
              </w:rPr>
              <w:t>(37%)</w:t>
            </w:r>
          </w:p>
        </w:tc>
      </w:tr>
      <w:tr w:rsidR="00AB5051" w:rsidRPr="0083254F" w14:paraId="6CDBE82C" w14:textId="77777777" w:rsidTr="00C666C2">
        <w:tc>
          <w:tcPr>
            <w:tcW w:w="751" w:type="dxa"/>
            <w:vMerge/>
          </w:tcPr>
          <w:p w14:paraId="7B18CDF4" w14:textId="77777777" w:rsidR="00AB5051" w:rsidRPr="0083254F" w:rsidRDefault="00AB5051" w:rsidP="00AB5051">
            <w:pPr>
              <w:rPr>
                <w:lang w:val="en-GB"/>
              </w:rPr>
            </w:pPr>
          </w:p>
        </w:tc>
        <w:tc>
          <w:tcPr>
            <w:tcW w:w="12199" w:type="dxa"/>
            <w:gridSpan w:val="6"/>
            <w:shd w:val="clear" w:color="auto" w:fill="D0CECE" w:themeFill="background2" w:themeFillShade="E6"/>
          </w:tcPr>
          <w:p w14:paraId="01A21037" w14:textId="6A755914" w:rsidR="00AB5051" w:rsidRPr="0083254F" w:rsidRDefault="00AB5051" w:rsidP="00AB5051">
            <w:pPr>
              <w:rPr>
                <w:lang w:val="en-GB"/>
              </w:rPr>
            </w:pPr>
            <w:r w:rsidRPr="0083254F">
              <w:rPr>
                <w:b/>
                <w:lang w:val="en-GB"/>
              </w:rPr>
              <w:t>Related UNCDF IRRM 2014-2017 indicator:</w:t>
            </w:r>
            <w:r w:rsidRPr="0083254F">
              <w:rPr>
                <w:lang w:val="en-GB"/>
              </w:rPr>
              <w:t xml:space="preserve"> Institutional Effectiveness indicators 1.2.3</w:t>
            </w:r>
          </w:p>
          <w:p w14:paraId="4154CA26" w14:textId="77777777" w:rsidR="00AB5051" w:rsidRPr="0083254F" w:rsidRDefault="00AB5051" w:rsidP="00AB5051">
            <w:pPr>
              <w:rPr>
                <w:lang w:val="en-GB"/>
              </w:rPr>
            </w:pPr>
            <w:r w:rsidRPr="0083254F">
              <w:rPr>
                <w:b/>
                <w:lang w:val="en-GB"/>
              </w:rPr>
              <w:t>Data source:</w:t>
            </w:r>
            <w:r w:rsidRPr="0083254F">
              <w:rPr>
                <w:lang w:val="en-GB"/>
              </w:rPr>
              <w:t xml:space="preserve"> HQ Management Support unit</w:t>
            </w:r>
          </w:p>
        </w:tc>
      </w:tr>
      <w:tr w:rsidR="007303E4" w:rsidRPr="0083254F" w14:paraId="1DD196FE" w14:textId="77777777" w:rsidTr="00C666C2">
        <w:tc>
          <w:tcPr>
            <w:tcW w:w="751" w:type="dxa"/>
            <w:vMerge w:val="restart"/>
          </w:tcPr>
          <w:p w14:paraId="6859385B" w14:textId="6C4581BB" w:rsidR="00AB5051" w:rsidRPr="0083254F" w:rsidRDefault="00AB5051" w:rsidP="00AB5051">
            <w:pPr>
              <w:rPr>
                <w:lang w:val="en-GB"/>
              </w:rPr>
            </w:pPr>
            <w:r>
              <w:rPr>
                <w:lang w:val="en-GB"/>
              </w:rPr>
              <w:t>IE1.4</w:t>
            </w:r>
          </w:p>
        </w:tc>
        <w:tc>
          <w:tcPr>
            <w:tcW w:w="5963" w:type="dxa"/>
          </w:tcPr>
          <w:p w14:paraId="41D3DEA3" w14:textId="475B325A" w:rsidR="00AB5051" w:rsidRPr="0083254F" w:rsidRDefault="00AB5051" w:rsidP="00AB5051">
            <w:pPr>
              <w:rPr>
                <w:lang w:val="en-GB"/>
              </w:rPr>
            </w:pPr>
            <w:r w:rsidRPr="0083254F">
              <w:rPr>
                <w:lang w:val="en-GB"/>
              </w:rPr>
              <w:t>US$ volume</w:t>
            </w:r>
            <w:r>
              <w:rPr>
                <w:lang w:val="en-GB"/>
              </w:rPr>
              <w:t xml:space="preserve"> and percentage</w:t>
            </w:r>
            <w:r w:rsidRPr="0083254F">
              <w:rPr>
                <w:lang w:val="en-GB"/>
              </w:rPr>
              <w:t xml:space="preserve"> of </w:t>
            </w:r>
            <w:r>
              <w:rPr>
                <w:lang w:val="en-GB"/>
              </w:rPr>
              <w:t>non-core resource received from inter-agency pooled funds</w:t>
            </w:r>
          </w:p>
        </w:tc>
        <w:tc>
          <w:tcPr>
            <w:tcW w:w="1248" w:type="dxa"/>
          </w:tcPr>
          <w:p w14:paraId="540CC116" w14:textId="3CD276F4" w:rsidR="00AB5051" w:rsidRPr="00FE7C74" w:rsidRDefault="00AB5051" w:rsidP="00AB5051">
            <w:pPr>
              <w:rPr>
                <w:lang w:val="en-GB"/>
              </w:rPr>
            </w:pPr>
            <w:r w:rsidRPr="00FE7C74">
              <w:rPr>
                <w:lang w:val="en-GB"/>
              </w:rPr>
              <w:t>$11,136,979</w:t>
            </w:r>
          </w:p>
          <w:p w14:paraId="7810FC69" w14:textId="65487161" w:rsidR="00AB5051" w:rsidRPr="00FE7C74" w:rsidRDefault="00AB5051" w:rsidP="00AB5051">
            <w:pPr>
              <w:rPr>
                <w:lang w:val="en-GB"/>
              </w:rPr>
            </w:pPr>
            <w:r w:rsidRPr="00FE7C74">
              <w:rPr>
                <w:lang w:val="en-GB"/>
              </w:rPr>
              <w:t>(29%)</w:t>
            </w:r>
            <w:r w:rsidR="002C5BDB" w:rsidRPr="00FE7C74">
              <w:rPr>
                <w:rStyle w:val="FootnoteReference"/>
                <w:color w:val="auto"/>
                <w:lang w:val="en-GB"/>
              </w:rPr>
              <w:footnoteReference w:id="17"/>
            </w:r>
          </w:p>
        </w:tc>
        <w:tc>
          <w:tcPr>
            <w:tcW w:w="1246" w:type="dxa"/>
          </w:tcPr>
          <w:p w14:paraId="0BB61BDA" w14:textId="1969D453" w:rsidR="00AB5051" w:rsidRDefault="00AB5051" w:rsidP="00AB5051">
            <w:pPr>
              <w:rPr>
                <w:lang w:val="en-GB"/>
              </w:rPr>
            </w:pPr>
            <w:r>
              <w:rPr>
                <w:lang w:val="en-GB"/>
              </w:rPr>
              <w:t>$11,359,000</w:t>
            </w:r>
          </w:p>
          <w:p w14:paraId="3EB0493F" w14:textId="5AF4E3A2" w:rsidR="00AB5051" w:rsidRPr="0083254F" w:rsidRDefault="00AB5051" w:rsidP="00AB5051">
            <w:pPr>
              <w:rPr>
                <w:lang w:val="en-GB"/>
              </w:rPr>
            </w:pPr>
            <w:r>
              <w:rPr>
                <w:lang w:val="en-GB"/>
              </w:rPr>
              <w:t>(29%)</w:t>
            </w:r>
          </w:p>
        </w:tc>
        <w:tc>
          <w:tcPr>
            <w:tcW w:w="1246" w:type="dxa"/>
          </w:tcPr>
          <w:p w14:paraId="6BDE717A" w14:textId="43A0C67E" w:rsidR="00AB5051" w:rsidRDefault="00AB5051" w:rsidP="00AB5051">
            <w:pPr>
              <w:rPr>
                <w:lang w:val="en-GB"/>
              </w:rPr>
            </w:pPr>
            <w:r>
              <w:rPr>
                <w:lang w:val="en-GB"/>
              </w:rPr>
              <w:t>$11,586,000</w:t>
            </w:r>
          </w:p>
          <w:p w14:paraId="0BF6CE88" w14:textId="46853363" w:rsidR="00AB5051" w:rsidRPr="0083254F" w:rsidRDefault="00AB5051" w:rsidP="00AB5051">
            <w:pPr>
              <w:rPr>
                <w:lang w:val="en-GB"/>
              </w:rPr>
            </w:pPr>
            <w:r>
              <w:rPr>
                <w:lang w:val="en-GB"/>
              </w:rPr>
              <w:t>(28%)</w:t>
            </w:r>
          </w:p>
        </w:tc>
        <w:tc>
          <w:tcPr>
            <w:tcW w:w="1246" w:type="dxa"/>
          </w:tcPr>
          <w:p w14:paraId="394BE268" w14:textId="27FAF841" w:rsidR="00AB5051" w:rsidRDefault="00AB5051" w:rsidP="00AB5051">
            <w:pPr>
              <w:rPr>
                <w:lang w:val="en-GB"/>
              </w:rPr>
            </w:pPr>
            <w:r>
              <w:rPr>
                <w:lang w:val="en-GB"/>
              </w:rPr>
              <w:t>$11,818,000</w:t>
            </w:r>
          </w:p>
          <w:p w14:paraId="165DE650" w14:textId="359D2BA3" w:rsidR="00AB5051" w:rsidRPr="0083254F" w:rsidRDefault="00AB5051" w:rsidP="00AB5051">
            <w:pPr>
              <w:rPr>
                <w:lang w:val="en-GB"/>
              </w:rPr>
            </w:pPr>
            <w:r>
              <w:rPr>
                <w:lang w:val="en-GB"/>
              </w:rPr>
              <w:t>(28%)</w:t>
            </w:r>
          </w:p>
        </w:tc>
        <w:tc>
          <w:tcPr>
            <w:tcW w:w="1250" w:type="dxa"/>
          </w:tcPr>
          <w:p w14:paraId="65E2E136" w14:textId="1B7DA040" w:rsidR="00AB5051" w:rsidRDefault="00AB5051" w:rsidP="00AB5051">
            <w:pPr>
              <w:rPr>
                <w:lang w:val="en-GB"/>
              </w:rPr>
            </w:pPr>
            <w:r>
              <w:rPr>
                <w:lang w:val="en-GB"/>
              </w:rPr>
              <w:t>$12,055 ,000</w:t>
            </w:r>
          </w:p>
          <w:p w14:paraId="2B5959AA" w14:textId="7490A554" w:rsidR="00AB5051" w:rsidRPr="0083254F" w:rsidRDefault="00AB5051" w:rsidP="00AB5051">
            <w:pPr>
              <w:rPr>
                <w:lang w:val="en-GB"/>
              </w:rPr>
            </w:pPr>
            <w:r>
              <w:rPr>
                <w:lang w:val="en-GB"/>
              </w:rPr>
              <w:t>(28%)</w:t>
            </w:r>
          </w:p>
        </w:tc>
      </w:tr>
      <w:tr w:rsidR="00AB5051" w:rsidRPr="0083254F" w14:paraId="1725596A" w14:textId="77777777" w:rsidTr="00C666C2">
        <w:tc>
          <w:tcPr>
            <w:tcW w:w="751" w:type="dxa"/>
            <w:vMerge/>
          </w:tcPr>
          <w:p w14:paraId="14B0B630" w14:textId="77777777" w:rsidR="00AB5051" w:rsidRPr="0083254F" w:rsidRDefault="00AB5051" w:rsidP="00AB5051">
            <w:pPr>
              <w:rPr>
                <w:lang w:val="en-GB"/>
              </w:rPr>
            </w:pPr>
          </w:p>
        </w:tc>
        <w:tc>
          <w:tcPr>
            <w:tcW w:w="12199" w:type="dxa"/>
            <w:gridSpan w:val="6"/>
            <w:shd w:val="clear" w:color="auto" w:fill="D0CECE" w:themeFill="background2" w:themeFillShade="E6"/>
          </w:tcPr>
          <w:p w14:paraId="450CDD06" w14:textId="38A4564D" w:rsidR="00AB5051" w:rsidRPr="00FE7C74" w:rsidRDefault="00AB5051" w:rsidP="00AB5051">
            <w:pPr>
              <w:rPr>
                <w:lang w:val="en-GB"/>
              </w:rPr>
            </w:pPr>
            <w:r w:rsidRPr="00FE7C74">
              <w:rPr>
                <w:b/>
                <w:lang w:val="en-GB"/>
              </w:rPr>
              <w:t>Related UNCDF IRRM 2014-2017 indicator:</w:t>
            </w:r>
            <w:r w:rsidRPr="00FE7C74">
              <w:rPr>
                <w:lang w:val="en-GB"/>
              </w:rPr>
              <w:t xml:space="preserve"> New</w:t>
            </w:r>
          </w:p>
          <w:p w14:paraId="0352B639" w14:textId="1988177C" w:rsidR="00AB5051" w:rsidRPr="00FE7C74" w:rsidRDefault="00AB5051" w:rsidP="00AB5051">
            <w:pPr>
              <w:rPr>
                <w:lang w:val="en-GB"/>
              </w:rPr>
            </w:pPr>
            <w:r w:rsidRPr="00FE7C74">
              <w:rPr>
                <w:b/>
                <w:lang w:val="en-GB"/>
              </w:rPr>
              <w:t>Data source:</w:t>
            </w:r>
            <w:r w:rsidRPr="00FE7C74">
              <w:rPr>
                <w:lang w:val="en-GB"/>
              </w:rPr>
              <w:t xml:space="preserve"> HQ Management Support unit</w:t>
            </w:r>
          </w:p>
        </w:tc>
      </w:tr>
      <w:tr w:rsidR="007303E4" w:rsidRPr="0083254F" w14:paraId="6E45C37E" w14:textId="77777777" w:rsidTr="00C666C2">
        <w:tc>
          <w:tcPr>
            <w:tcW w:w="751" w:type="dxa"/>
            <w:vMerge w:val="restart"/>
          </w:tcPr>
          <w:p w14:paraId="4B66D985" w14:textId="32BF0BF9" w:rsidR="00AB5051" w:rsidRPr="0083254F" w:rsidRDefault="00AB5051" w:rsidP="00AB5051">
            <w:pPr>
              <w:rPr>
                <w:lang w:val="en-GB"/>
              </w:rPr>
            </w:pPr>
            <w:r w:rsidRPr="0083254F">
              <w:rPr>
                <w:lang w:val="en-GB"/>
              </w:rPr>
              <w:t>IE</w:t>
            </w:r>
            <w:r>
              <w:rPr>
                <w:lang w:val="en-GB"/>
              </w:rPr>
              <w:t>1</w:t>
            </w:r>
            <w:r w:rsidRPr="0083254F">
              <w:rPr>
                <w:lang w:val="en-GB"/>
              </w:rPr>
              <w:t>.</w:t>
            </w:r>
            <w:r>
              <w:rPr>
                <w:lang w:val="en-GB"/>
              </w:rPr>
              <w:t>5</w:t>
            </w:r>
          </w:p>
        </w:tc>
        <w:tc>
          <w:tcPr>
            <w:tcW w:w="5963" w:type="dxa"/>
          </w:tcPr>
          <w:p w14:paraId="43B38EC5" w14:textId="32E74436" w:rsidR="00AB5051" w:rsidRPr="0083254F" w:rsidRDefault="00AB5051" w:rsidP="00AB5051">
            <w:pPr>
              <w:rPr>
                <w:lang w:val="en-GB"/>
              </w:rPr>
            </w:pPr>
            <w:r w:rsidRPr="0083254F">
              <w:rPr>
                <w:lang w:val="en-GB"/>
              </w:rPr>
              <w:t>Percentage of delivery against approved budget, disaggregated by practices (FI/LDF)</w:t>
            </w:r>
          </w:p>
        </w:tc>
        <w:tc>
          <w:tcPr>
            <w:tcW w:w="1248" w:type="dxa"/>
          </w:tcPr>
          <w:p w14:paraId="5A78F208" w14:textId="71A80697" w:rsidR="00AB5051" w:rsidRPr="0083254F" w:rsidRDefault="004A3BD8" w:rsidP="00AB5051">
            <w:pPr>
              <w:rPr>
                <w:lang w:val="en-GB"/>
              </w:rPr>
            </w:pPr>
            <w:r>
              <w:rPr>
                <w:lang w:val="en-GB"/>
              </w:rPr>
              <w:t>83%</w:t>
            </w:r>
          </w:p>
        </w:tc>
        <w:tc>
          <w:tcPr>
            <w:tcW w:w="1246" w:type="dxa"/>
          </w:tcPr>
          <w:p w14:paraId="6CEA0E45" w14:textId="2F072964" w:rsidR="00AB5051" w:rsidRPr="0083254F" w:rsidRDefault="004A3BD8" w:rsidP="00AB5051">
            <w:pPr>
              <w:rPr>
                <w:lang w:val="en-GB"/>
              </w:rPr>
            </w:pPr>
            <w:r>
              <w:rPr>
                <w:lang w:val="en-GB"/>
              </w:rPr>
              <w:t>85%</w:t>
            </w:r>
          </w:p>
        </w:tc>
        <w:tc>
          <w:tcPr>
            <w:tcW w:w="1246" w:type="dxa"/>
          </w:tcPr>
          <w:p w14:paraId="6A326673" w14:textId="4ADFEC1D" w:rsidR="00AB5051" w:rsidRPr="0083254F" w:rsidRDefault="004A3BD8" w:rsidP="00AB5051">
            <w:pPr>
              <w:rPr>
                <w:lang w:val="en-GB"/>
              </w:rPr>
            </w:pPr>
            <w:r>
              <w:rPr>
                <w:lang w:val="en-GB"/>
              </w:rPr>
              <w:t>85%</w:t>
            </w:r>
          </w:p>
        </w:tc>
        <w:tc>
          <w:tcPr>
            <w:tcW w:w="1246" w:type="dxa"/>
          </w:tcPr>
          <w:p w14:paraId="2A912D82" w14:textId="14CF581A" w:rsidR="00AB5051" w:rsidRPr="0083254F" w:rsidRDefault="004A3BD8" w:rsidP="00AB5051">
            <w:pPr>
              <w:rPr>
                <w:lang w:val="en-GB"/>
              </w:rPr>
            </w:pPr>
            <w:r>
              <w:rPr>
                <w:lang w:val="en-GB"/>
              </w:rPr>
              <w:t>85%</w:t>
            </w:r>
          </w:p>
        </w:tc>
        <w:tc>
          <w:tcPr>
            <w:tcW w:w="1250" w:type="dxa"/>
          </w:tcPr>
          <w:p w14:paraId="1E8BA500" w14:textId="1F2CE7D1" w:rsidR="00AB5051" w:rsidRPr="0083254F" w:rsidRDefault="004A3BD8" w:rsidP="00AB5051">
            <w:pPr>
              <w:rPr>
                <w:lang w:val="en-GB"/>
              </w:rPr>
            </w:pPr>
            <w:r>
              <w:rPr>
                <w:lang w:val="en-GB"/>
              </w:rPr>
              <w:t>85%</w:t>
            </w:r>
          </w:p>
        </w:tc>
      </w:tr>
      <w:tr w:rsidR="00AB5051" w:rsidRPr="0083254F" w14:paraId="20B8F711" w14:textId="77777777" w:rsidTr="00C666C2">
        <w:tc>
          <w:tcPr>
            <w:tcW w:w="751" w:type="dxa"/>
            <w:vMerge/>
          </w:tcPr>
          <w:p w14:paraId="0569B875" w14:textId="77777777" w:rsidR="00AB5051" w:rsidRPr="0083254F" w:rsidRDefault="00AB5051" w:rsidP="00AB5051">
            <w:pPr>
              <w:rPr>
                <w:lang w:val="en-GB"/>
              </w:rPr>
            </w:pPr>
          </w:p>
        </w:tc>
        <w:tc>
          <w:tcPr>
            <w:tcW w:w="12199" w:type="dxa"/>
            <w:gridSpan w:val="6"/>
            <w:shd w:val="clear" w:color="auto" w:fill="D0CECE" w:themeFill="background2" w:themeFillShade="E6"/>
          </w:tcPr>
          <w:p w14:paraId="43D60166" w14:textId="77777777" w:rsidR="00AB5051" w:rsidRPr="0083254F" w:rsidRDefault="00AB5051" w:rsidP="00AB5051">
            <w:pPr>
              <w:rPr>
                <w:lang w:val="en-GB"/>
              </w:rPr>
            </w:pPr>
            <w:r w:rsidRPr="0083254F">
              <w:rPr>
                <w:b/>
                <w:lang w:val="en-GB"/>
              </w:rPr>
              <w:t>Related UNCDF IRRM 2014-2017 indicator:</w:t>
            </w:r>
            <w:r w:rsidRPr="0083254F">
              <w:rPr>
                <w:lang w:val="en-GB"/>
              </w:rPr>
              <w:t xml:space="preserve"> Institutional Effectiveness indicator 1.2.4</w:t>
            </w:r>
          </w:p>
          <w:p w14:paraId="040075EF" w14:textId="77777777" w:rsidR="00AB5051" w:rsidRPr="0083254F" w:rsidRDefault="00AB5051" w:rsidP="00AB5051">
            <w:pPr>
              <w:rPr>
                <w:lang w:val="en-GB"/>
              </w:rPr>
            </w:pPr>
            <w:r w:rsidRPr="0083254F">
              <w:rPr>
                <w:b/>
                <w:lang w:val="en-GB"/>
              </w:rPr>
              <w:t>Data source:</w:t>
            </w:r>
            <w:r w:rsidRPr="0083254F">
              <w:rPr>
                <w:lang w:val="en-GB"/>
              </w:rPr>
              <w:t xml:space="preserve"> HQ Management Support unit</w:t>
            </w:r>
          </w:p>
        </w:tc>
      </w:tr>
      <w:tr w:rsidR="007303E4" w:rsidRPr="0083254F" w14:paraId="7BD07FE8" w14:textId="77777777" w:rsidTr="00C666C2">
        <w:trPr>
          <w:trHeight w:val="413"/>
        </w:trPr>
        <w:tc>
          <w:tcPr>
            <w:tcW w:w="751" w:type="dxa"/>
            <w:vMerge w:val="restart"/>
          </w:tcPr>
          <w:p w14:paraId="72EB0537" w14:textId="208880FF" w:rsidR="00AB5051" w:rsidRPr="0083254F" w:rsidRDefault="00AB5051" w:rsidP="00AB5051">
            <w:pPr>
              <w:rPr>
                <w:lang w:val="en-GB"/>
              </w:rPr>
            </w:pPr>
            <w:r w:rsidRPr="0083254F">
              <w:rPr>
                <w:lang w:val="en-GB"/>
              </w:rPr>
              <w:t>IE</w:t>
            </w:r>
            <w:r>
              <w:rPr>
                <w:lang w:val="en-GB"/>
              </w:rPr>
              <w:t>1</w:t>
            </w:r>
            <w:r w:rsidRPr="0083254F">
              <w:rPr>
                <w:lang w:val="en-GB"/>
              </w:rPr>
              <w:t>.</w:t>
            </w:r>
            <w:r>
              <w:rPr>
                <w:lang w:val="en-GB"/>
              </w:rPr>
              <w:t>6</w:t>
            </w:r>
          </w:p>
        </w:tc>
        <w:tc>
          <w:tcPr>
            <w:tcW w:w="5963" w:type="dxa"/>
          </w:tcPr>
          <w:p w14:paraId="3D33F81B" w14:textId="77777777" w:rsidR="00AB5051" w:rsidRPr="0083254F" w:rsidRDefault="00AB5051" w:rsidP="00AB5051">
            <w:pPr>
              <w:rPr>
                <w:lang w:val="en-GB"/>
              </w:rPr>
            </w:pPr>
            <w:r>
              <w:rPr>
                <w:lang w:val="en-GB"/>
              </w:rPr>
              <w:t>Percentage</w:t>
            </w:r>
            <w:r w:rsidRPr="0083254F">
              <w:rPr>
                <w:lang w:val="en-GB"/>
              </w:rPr>
              <w:t xml:space="preserve"> of total UNCDF expenditure </w:t>
            </w:r>
            <w:r>
              <w:rPr>
                <w:lang w:val="en-GB"/>
              </w:rPr>
              <w:t xml:space="preserve">committed to a) management activities and b) travel costs </w:t>
            </w:r>
          </w:p>
        </w:tc>
        <w:tc>
          <w:tcPr>
            <w:tcW w:w="1248" w:type="dxa"/>
          </w:tcPr>
          <w:p w14:paraId="0DC1F7A8" w14:textId="26946A21" w:rsidR="00AB5051" w:rsidRDefault="00AB5051" w:rsidP="00AB5051">
            <w:pPr>
              <w:rPr>
                <w:lang w:val="en-GB"/>
              </w:rPr>
            </w:pPr>
            <w:r>
              <w:rPr>
                <w:lang w:val="en-GB"/>
              </w:rPr>
              <w:t>a)</w:t>
            </w:r>
            <w:r w:rsidR="004A3BD8">
              <w:rPr>
                <w:lang w:val="en-GB"/>
              </w:rPr>
              <w:t xml:space="preserve"> 10%</w:t>
            </w:r>
          </w:p>
          <w:p w14:paraId="6546A552" w14:textId="53759660" w:rsidR="00AB5051" w:rsidRPr="0083254F" w:rsidRDefault="00AB5051" w:rsidP="00AB5051">
            <w:pPr>
              <w:rPr>
                <w:lang w:val="en-GB"/>
              </w:rPr>
            </w:pPr>
            <w:r>
              <w:rPr>
                <w:lang w:val="en-GB"/>
              </w:rPr>
              <w:t>b)</w:t>
            </w:r>
            <w:r w:rsidR="004A3BD8">
              <w:rPr>
                <w:lang w:val="en-GB"/>
              </w:rPr>
              <w:t xml:space="preserve"> 0.6%</w:t>
            </w:r>
          </w:p>
        </w:tc>
        <w:tc>
          <w:tcPr>
            <w:tcW w:w="1246" w:type="dxa"/>
          </w:tcPr>
          <w:p w14:paraId="62412AF4" w14:textId="1FDA16C7" w:rsidR="00AB5051" w:rsidRDefault="00AB5051" w:rsidP="00AB5051">
            <w:pPr>
              <w:rPr>
                <w:lang w:val="en-GB"/>
              </w:rPr>
            </w:pPr>
            <w:r>
              <w:rPr>
                <w:lang w:val="en-GB"/>
              </w:rPr>
              <w:t>a)</w:t>
            </w:r>
            <w:r w:rsidR="004A3BD8">
              <w:rPr>
                <w:lang w:val="en-GB"/>
              </w:rPr>
              <w:t xml:space="preserve"> 15%</w:t>
            </w:r>
          </w:p>
          <w:p w14:paraId="7919CF9E" w14:textId="7AFF9808" w:rsidR="00AB5051" w:rsidRPr="0083254F" w:rsidRDefault="00AB5051" w:rsidP="00AB5051">
            <w:pPr>
              <w:rPr>
                <w:lang w:val="en-GB"/>
              </w:rPr>
            </w:pPr>
            <w:r>
              <w:rPr>
                <w:lang w:val="en-GB"/>
              </w:rPr>
              <w:t>b)</w:t>
            </w:r>
            <w:r w:rsidR="004A3BD8">
              <w:rPr>
                <w:lang w:val="en-GB"/>
              </w:rPr>
              <w:t xml:space="preserve"> 2%</w:t>
            </w:r>
          </w:p>
        </w:tc>
        <w:tc>
          <w:tcPr>
            <w:tcW w:w="1246" w:type="dxa"/>
          </w:tcPr>
          <w:p w14:paraId="578AF697" w14:textId="77777777" w:rsidR="004A3BD8" w:rsidRDefault="004A3BD8" w:rsidP="004A3BD8">
            <w:pPr>
              <w:rPr>
                <w:lang w:val="en-GB"/>
              </w:rPr>
            </w:pPr>
            <w:r>
              <w:rPr>
                <w:lang w:val="en-GB"/>
              </w:rPr>
              <w:t>a) 15%</w:t>
            </w:r>
          </w:p>
          <w:p w14:paraId="7D18C73E" w14:textId="23B3BBF8" w:rsidR="00AB5051" w:rsidRPr="0083254F" w:rsidRDefault="004A3BD8" w:rsidP="004A3BD8">
            <w:pPr>
              <w:rPr>
                <w:lang w:val="en-GB"/>
              </w:rPr>
            </w:pPr>
            <w:r>
              <w:rPr>
                <w:lang w:val="en-GB"/>
              </w:rPr>
              <w:t>b) 2%</w:t>
            </w:r>
          </w:p>
        </w:tc>
        <w:tc>
          <w:tcPr>
            <w:tcW w:w="1246" w:type="dxa"/>
          </w:tcPr>
          <w:p w14:paraId="4F0087EE" w14:textId="77777777" w:rsidR="004A3BD8" w:rsidRDefault="004A3BD8" w:rsidP="004A3BD8">
            <w:pPr>
              <w:rPr>
                <w:lang w:val="en-GB"/>
              </w:rPr>
            </w:pPr>
            <w:r>
              <w:rPr>
                <w:lang w:val="en-GB"/>
              </w:rPr>
              <w:t>a) 15%</w:t>
            </w:r>
          </w:p>
          <w:p w14:paraId="3A837603" w14:textId="21DBC779" w:rsidR="00AB5051" w:rsidRPr="0083254F" w:rsidRDefault="004A3BD8" w:rsidP="00AB5051">
            <w:pPr>
              <w:rPr>
                <w:lang w:val="en-GB"/>
              </w:rPr>
            </w:pPr>
            <w:r>
              <w:rPr>
                <w:lang w:val="en-GB"/>
              </w:rPr>
              <w:t>b) 2%</w:t>
            </w:r>
          </w:p>
        </w:tc>
        <w:tc>
          <w:tcPr>
            <w:tcW w:w="1250" w:type="dxa"/>
          </w:tcPr>
          <w:p w14:paraId="06F6E077" w14:textId="77777777" w:rsidR="004A3BD8" w:rsidRDefault="004A3BD8" w:rsidP="004A3BD8">
            <w:pPr>
              <w:rPr>
                <w:lang w:val="en-GB"/>
              </w:rPr>
            </w:pPr>
            <w:r>
              <w:rPr>
                <w:lang w:val="en-GB"/>
              </w:rPr>
              <w:t>a) 15%</w:t>
            </w:r>
          </w:p>
          <w:p w14:paraId="70976A28" w14:textId="5940D5CE" w:rsidR="00AB5051" w:rsidRPr="0083254F" w:rsidRDefault="004A3BD8" w:rsidP="00AB5051">
            <w:pPr>
              <w:rPr>
                <w:lang w:val="en-GB"/>
              </w:rPr>
            </w:pPr>
            <w:r>
              <w:rPr>
                <w:lang w:val="en-GB"/>
              </w:rPr>
              <w:t>b) 2%</w:t>
            </w:r>
          </w:p>
        </w:tc>
      </w:tr>
      <w:tr w:rsidR="00AB5051" w:rsidRPr="0083254F" w14:paraId="5436352A" w14:textId="77777777" w:rsidTr="00C666C2">
        <w:tc>
          <w:tcPr>
            <w:tcW w:w="751" w:type="dxa"/>
            <w:vMerge/>
          </w:tcPr>
          <w:p w14:paraId="08C7DF65" w14:textId="77777777" w:rsidR="00AB5051" w:rsidRPr="0083254F" w:rsidRDefault="00AB5051" w:rsidP="00AB5051">
            <w:pPr>
              <w:rPr>
                <w:lang w:val="en-GB"/>
              </w:rPr>
            </w:pPr>
          </w:p>
        </w:tc>
        <w:tc>
          <w:tcPr>
            <w:tcW w:w="12199" w:type="dxa"/>
            <w:gridSpan w:val="6"/>
            <w:shd w:val="clear" w:color="auto" w:fill="D0CECE" w:themeFill="background2" w:themeFillShade="E6"/>
          </w:tcPr>
          <w:p w14:paraId="76D1DFC2" w14:textId="77777777" w:rsidR="00AB5051" w:rsidRPr="0083254F" w:rsidRDefault="00AB5051" w:rsidP="00AB5051">
            <w:pPr>
              <w:rPr>
                <w:lang w:val="en-GB"/>
              </w:rPr>
            </w:pPr>
            <w:r w:rsidRPr="0083254F">
              <w:rPr>
                <w:b/>
                <w:lang w:val="en-GB"/>
              </w:rPr>
              <w:t>Related UNCDF IRRM 2014-2017 indicator:</w:t>
            </w:r>
            <w:r w:rsidRPr="0083254F">
              <w:rPr>
                <w:lang w:val="en-GB"/>
              </w:rPr>
              <w:t xml:space="preserve"> </w:t>
            </w:r>
            <w:r>
              <w:rPr>
                <w:lang w:val="en-GB"/>
              </w:rPr>
              <w:t xml:space="preserve">Amended from </w:t>
            </w:r>
            <w:r w:rsidRPr="0083254F">
              <w:rPr>
                <w:lang w:val="en-GB"/>
              </w:rPr>
              <w:t>Institutional Effectiveness indicator 1.2.6</w:t>
            </w:r>
            <w:r>
              <w:rPr>
                <w:lang w:val="en-GB"/>
              </w:rPr>
              <w:t xml:space="preserve"> and 1.2.7</w:t>
            </w:r>
          </w:p>
          <w:p w14:paraId="6C820CE9" w14:textId="77777777" w:rsidR="00AB5051" w:rsidRPr="0083254F" w:rsidRDefault="00AB5051" w:rsidP="00AB5051">
            <w:pPr>
              <w:rPr>
                <w:lang w:val="en-GB"/>
              </w:rPr>
            </w:pPr>
            <w:r w:rsidRPr="0083254F">
              <w:rPr>
                <w:b/>
                <w:lang w:val="en-GB"/>
              </w:rPr>
              <w:t>Data source:</w:t>
            </w:r>
            <w:r w:rsidRPr="0083254F">
              <w:rPr>
                <w:lang w:val="en-GB"/>
              </w:rPr>
              <w:t xml:space="preserve"> HQ Management Support unit</w:t>
            </w:r>
          </w:p>
        </w:tc>
      </w:tr>
      <w:tr w:rsidR="007303E4" w:rsidRPr="0083254F" w14:paraId="7472170C" w14:textId="77777777" w:rsidTr="00C666C2">
        <w:tc>
          <w:tcPr>
            <w:tcW w:w="751" w:type="dxa"/>
            <w:vMerge w:val="restart"/>
          </w:tcPr>
          <w:p w14:paraId="3EA2631A" w14:textId="636DEC1A" w:rsidR="00AB5051" w:rsidRPr="0083254F" w:rsidRDefault="00AB5051" w:rsidP="00AB5051">
            <w:pPr>
              <w:rPr>
                <w:lang w:val="en-GB"/>
              </w:rPr>
            </w:pPr>
            <w:r w:rsidRPr="0083254F">
              <w:rPr>
                <w:lang w:val="en-GB"/>
              </w:rPr>
              <w:t>IE</w:t>
            </w:r>
            <w:r>
              <w:rPr>
                <w:lang w:val="en-GB"/>
              </w:rPr>
              <w:t>1</w:t>
            </w:r>
            <w:r w:rsidRPr="0083254F">
              <w:rPr>
                <w:lang w:val="en-GB"/>
              </w:rPr>
              <w:t>.</w:t>
            </w:r>
            <w:r>
              <w:rPr>
                <w:lang w:val="en-GB"/>
              </w:rPr>
              <w:t>7</w:t>
            </w:r>
          </w:p>
        </w:tc>
        <w:tc>
          <w:tcPr>
            <w:tcW w:w="5963" w:type="dxa"/>
          </w:tcPr>
          <w:p w14:paraId="76C0A3ED" w14:textId="77777777" w:rsidR="00AB5051" w:rsidRPr="0083254F" w:rsidRDefault="00AB5051" w:rsidP="00AB5051">
            <w:pPr>
              <w:rPr>
                <w:lang w:val="en-GB"/>
              </w:rPr>
            </w:pPr>
            <w:r>
              <w:rPr>
                <w:lang w:val="en-GB"/>
              </w:rPr>
              <w:t>Percentage</w:t>
            </w:r>
            <w:r w:rsidRPr="0083254F">
              <w:rPr>
                <w:lang w:val="en-GB"/>
              </w:rPr>
              <w:t xml:space="preserve"> of total UNCDF expenditure </w:t>
            </w:r>
            <w:r>
              <w:rPr>
                <w:lang w:val="en-GB"/>
              </w:rPr>
              <w:t>committed to capital investments (e.g. grants, loans, guarantees)</w:t>
            </w:r>
          </w:p>
        </w:tc>
        <w:tc>
          <w:tcPr>
            <w:tcW w:w="1248" w:type="dxa"/>
          </w:tcPr>
          <w:p w14:paraId="575D9FE0" w14:textId="0F00269C" w:rsidR="00AB5051" w:rsidRPr="0083254F" w:rsidRDefault="004A3BD8" w:rsidP="00AB5051">
            <w:pPr>
              <w:rPr>
                <w:lang w:val="en-GB"/>
              </w:rPr>
            </w:pPr>
            <w:r>
              <w:rPr>
                <w:lang w:val="en-GB"/>
              </w:rPr>
              <w:t>37%</w:t>
            </w:r>
          </w:p>
        </w:tc>
        <w:tc>
          <w:tcPr>
            <w:tcW w:w="1246" w:type="dxa"/>
          </w:tcPr>
          <w:p w14:paraId="3DCB3A0E" w14:textId="07D5564A" w:rsidR="00AB5051" w:rsidRPr="0083254F" w:rsidRDefault="004A3BD8" w:rsidP="00AB5051">
            <w:pPr>
              <w:rPr>
                <w:lang w:val="en-GB"/>
              </w:rPr>
            </w:pPr>
            <w:r>
              <w:rPr>
                <w:lang w:val="en-GB"/>
              </w:rPr>
              <w:t>35%</w:t>
            </w:r>
          </w:p>
        </w:tc>
        <w:tc>
          <w:tcPr>
            <w:tcW w:w="1246" w:type="dxa"/>
          </w:tcPr>
          <w:p w14:paraId="387EF138" w14:textId="6F6466E8" w:rsidR="00AB5051" w:rsidRPr="0083254F" w:rsidRDefault="004A3BD8" w:rsidP="00AB5051">
            <w:pPr>
              <w:rPr>
                <w:lang w:val="en-GB"/>
              </w:rPr>
            </w:pPr>
            <w:r>
              <w:rPr>
                <w:lang w:val="en-GB"/>
              </w:rPr>
              <w:t>36%</w:t>
            </w:r>
          </w:p>
        </w:tc>
        <w:tc>
          <w:tcPr>
            <w:tcW w:w="1246" w:type="dxa"/>
          </w:tcPr>
          <w:p w14:paraId="78F8CBC7" w14:textId="312A0AA9" w:rsidR="00AB5051" w:rsidRPr="0083254F" w:rsidRDefault="004A3BD8" w:rsidP="00AB5051">
            <w:pPr>
              <w:rPr>
                <w:lang w:val="en-GB"/>
              </w:rPr>
            </w:pPr>
            <w:r>
              <w:rPr>
                <w:lang w:val="en-GB"/>
              </w:rPr>
              <w:t>38%</w:t>
            </w:r>
          </w:p>
        </w:tc>
        <w:tc>
          <w:tcPr>
            <w:tcW w:w="1250" w:type="dxa"/>
          </w:tcPr>
          <w:p w14:paraId="7BAE9AB5" w14:textId="3D12C982" w:rsidR="00AB5051" w:rsidRPr="0083254F" w:rsidRDefault="004A3BD8" w:rsidP="00AB5051">
            <w:pPr>
              <w:rPr>
                <w:lang w:val="en-GB"/>
              </w:rPr>
            </w:pPr>
            <w:r>
              <w:rPr>
                <w:lang w:val="en-GB"/>
              </w:rPr>
              <w:t>40%</w:t>
            </w:r>
          </w:p>
        </w:tc>
      </w:tr>
      <w:tr w:rsidR="00AB5051" w:rsidRPr="0083254F" w14:paraId="7C1A7A0D" w14:textId="77777777" w:rsidTr="00C666C2">
        <w:tc>
          <w:tcPr>
            <w:tcW w:w="751" w:type="dxa"/>
            <w:vMerge/>
          </w:tcPr>
          <w:p w14:paraId="57EB2CF5" w14:textId="77777777" w:rsidR="00AB5051" w:rsidRPr="0083254F" w:rsidRDefault="00AB5051" w:rsidP="00AB5051">
            <w:pPr>
              <w:rPr>
                <w:lang w:val="en-GB"/>
              </w:rPr>
            </w:pPr>
          </w:p>
        </w:tc>
        <w:tc>
          <w:tcPr>
            <w:tcW w:w="12199" w:type="dxa"/>
            <w:gridSpan w:val="6"/>
            <w:shd w:val="clear" w:color="auto" w:fill="D0CECE" w:themeFill="background2" w:themeFillShade="E6"/>
          </w:tcPr>
          <w:p w14:paraId="742887BF" w14:textId="77777777" w:rsidR="00AB5051" w:rsidRPr="0083254F" w:rsidRDefault="00AB5051" w:rsidP="00AB5051">
            <w:pPr>
              <w:rPr>
                <w:lang w:val="en-GB"/>
              </w:rPr>
            </w:pPr>
            <w:r w:rsidRPr="0083254F">
              <w:rPr>
                <w:b/>
                <w:lang w:val="en-GB"/>
              </w:rPr>
              <w:t>Related UNCDF IRRM 2014-2017 indicator:</w:t>
            </w:r>
            <w:r w:rsidRPr="0083254F">
              <w:rPr>
                <w:lang w:val="en-GB"/>
              </w:rPr>
              <w:t xml:space="preserve"> </w:t>
            </w:r>
            <w:r>
              <w:rPr>
                <w:lang w:val="en-GB"/>
              </w:rPr>
              <w:t xml:space="preserve">Amended from </w:t>
            </w:r>
            <w:r w:rsidRPr="0083254F">
              <w:rPr>
                <w:lang w:val="en-GB"/>
              </w:rPr>
              <w:t>Institutional Effectiveness indicator 1.2.</w:t>
            </w:r>
            <w:r>
              <w:rPr>
                <w:lang w:val="en-GB"/>
              </w:rPr>
              <w:t>8 and 1.2.9</w:t>
            </w:r>
          </w:p>
          <w:p w14:paraId="51EC94EF" w14:textId="77777777" w:rsidR="00AB5051" w:rsidRPr="0083254F" w:rsidRDefault="00AB5051" w:rsidP="00AB5051">
            <w:pPr>
              <w:rPr>
                <w:lang w:val="en-GB"/>
              </w:rPr>
            </w:pPr>
            <w:r w:rsidRPr="0083254F">
              <w:rPr>
                <w:b/>
                <w:lang w:val="en-GB"/>
              </w:rPr>
              <w:t>Data source:</w:t>
            </w:r>
            <w:r w:rsidRPr="0083254F">
              <w:rPr>
                <w:lang w:val="en-GB"/>
              </w:rPr>
              <w:t xml:space="preserve"> HQ Management Support unit</w:t>
            </w:r>
          </w:p>
        </w:tc>
      </w:tr>
      <w:tr w:rsidR="007303E4" w:rsidRPr="0083254F" w14:paraId="38234E6D" w14:textId="77777777" w:rsidTr="00C666C2">
        <w:tc>
          <w:tcPr>
            <w:tcW w:w="751" w:type="dxa"/>
            <w:vMerge w:val="restart"/>
          </w:tcPr>
          <w:p w14:paraId="495875B5" w14:textId="743987C5" w:rsidR="00AB5051" w:rsidRDefault="00AB5051" w:rsidP="00AB5051">
            <w:pPr>
              <w:rPr>
                <w:lang w:val="en-GB"/>
              </w:rPr>
            </w:pPr>
            <w:r w:rsidRPr="0083254F">
              <w:rPr>
                <w:lang w:val="en-GB"/>
              </w:rPr>
              <w:t>IE</w:t>
            </w:r>
            <w:r>
              <w:rPr>
                <w:lang w:val="en-GB"/>
              </w:rPr>
              <w:t>1</w:t>
            </w:r>
            <w:r w:rsidRPr="0083254F">
              <w:rPr>
                <w:lang w:val="en-GB"/>
              </w:rPr>
              <w:t>.</w:t>
            </w:r>
            <w:r>
              <w:rPr>
                <w:lang w:val="en-GB"/>
              </w:rPr>
              <w:t>8</w:t>
            </w:r>
          </w:p>
        </w:tc>
        <w:tc>
          <w:tcPr>
            <w:tcW w:w="5963" w:type="dxa"/>
          </w:tcPr>
          <w:p w14:paraId="61A8719A" w14:textId="52812436" w:rsidR="00AB5051" w:rsidRDefault="00AB5051" w:rsidP="00AB5051">
            <w:pPr>
              <w:rPr>
                <w:lang w:val="en-GB"/>
              </w:rPr>
            </w:pPr>
            <w:r>
              <w:rPr>
                <w:lang w:val="en-GB"/>
              </w:rPr>
              <w:t>Percentage share of core and total country-level programme expenditures (excluding local resources) spent in LDCs</w:t>
            </w:r>
          </w:p>
        </w:tc>
        <w:tc>
          <w:tcPr>
            <w:tcW w:w="1248" w:type="dxa"/>
          </w:tcPr>
          <w:p w14:paraId="161AFA6A" w14:textId="0B673504" w:rsidR="00AB5051" w:rsidRPr="0083254F" w:rsidRDefault="004A3BD8" w:rsidP="00AB5051">
            <w:pPr>
              <w:rPr>
                <w:lang w:val="en-GB"/>
              </w:rPr>
            </w:pPr>
            <w:r>
              <w:rPr>
                <w:lang w:val="en-GB"/>
              </w:rPr>
              <w:t>81%</w:t>
            </w:r>
          </w:p>
        </w:tc>
        <w:tc>
          <w:tcPr>
            <w:tcW w:w="1246" w:type="dxa"/>
          </w:tcPr>
          <w:p w14:paraId="24056357" w14:textId="6037025E" w:rsidR="00AB5051" w:rsidRPr="0083254F" w:rsidRDefault="004A3BD8" w:rsidP="00AB5051">
            <w:pPr>
              <w:rPr>
                <w:lang w:val="en-GB"/>
              </w:rPr>
            </w:pPr>
            <w:r>
              <w:rPr>
                <w:lang w:val="en-GB"/>
              </w:rPr>
              <w:t>80%</w:t>
            </w:r>
          </w:p>
        </w:tc>
        <w:tc>
          <w:tcPr>
            <w:tcW w:w="1246" w:type="dxa"/>
          </w:tcPr>
          <w:p w14:paraId="7DC0C83C" w14:textId="22D5FAA5" w:rsidR="00AB5051" w:rsidRPr="0083254F" w:rsidRDefault="004A3BD8" w:rsidP="00AB5051">
            <w:pPr>
              <w:rPr>
                <w:lang w:val="en-GB"/>
              </w:rPr>
            </w:pPr>
            <w:r>
              <w:rPr>
                <w:lang w:val="en-GB"/>
              </w:rPr>
              <w:t>80%</w:t>
            </w:r>
          </w:p>
        </w:tc>
        <w:tc>
          <w:tcPr>
            <w:tcW w:w="1246" w:type="dxa"/>
          </w:tcPr>
          <w:p w14:paraId="67CE9883" w14:textId="727C7EAE" w:rsidR="00AB5051" w:rsidRPr="0083254F" w:rsidRDefault="004A3BD8" w:rsidP="00AB5051">
            <w:pPr>
              <w:rPr>
                <w:lang w:val="en-GB"/>
              </w:rPr>
            </w:pPr>
            <w:r>
              <w:rPr>
                <w:lang w:val="en-GB"/>
              </w:rPr>
              <w:t>80%</w:t>
            </w:r>
          </w:p>
        </w:tc>
        <w:tc>
          <w:tcPr>
            <w:tcW w:w="1250" w:type="dxa"/>
          </w:tcPr>
          <w:p w14:paraId="7BBDB706" w14:textId="4CB18529" w:rsidR="00AB5051" w:rsidRPr="0083254F" w:rsidRDefault="004A3BD8" w:rsidP="00AB5051">
            <w:pPr>
              <w:rPr>
                <w:lang w:val="en-GB"/>
              </w:rPr>
            </w:pPr>
            <w:r>
              <w:rPr>
                <w:lang w:val="en-GB"/>
              </w:rPr>
              <w:t>80%</w:t>
            </w:r>
          </w:p>
        </w:tc>
      </w:tr>
      <w:tr w:rsidR="00AB5051" w:rsidRPr="0083254F" w14:paraId="2810F5DE" w14:textId="77777777" w:rsidTr="00C666C2">
        <w:tc>
          <w:tcPr>
            <w:tcW w:w="751" w:type="dxa"/>
            <w:vMerge/>
          </w:tcPr>
          <w:p w14:paraId="6149B476" w14:textId="77777777" w:rsidR="00AB5051" w:rsidRDefault="00AB5051" w:rsidP="00AB5051">
            <w:pPr>
              <w:rPr>
                <w:lang w:val="en-GB"/>
              </w:rPr>
            </w:pPr>
          </w:p>
        </w:tc>
        <w:tc>
          <w:tcPr>
            <w:tcW w:w="12199" w:type="dxa"/>
            <w:gridSpan w:val="6"/>
            <w:shd w:val="clear" w:color="auto" w:fill="D0CECE" w:themeFill="background2" w:themeFillShade="E6"/>
          </w:tcPr>
          <w:p w14:paraId="0B517824" w14:textId="77777777" w:rsidR="00AB5051" w:rsidRPr="0083254F" w:rsidRDefault="00AB5051" w:rsidP="00AB5051">
            <w:pPr>
              <w:rPr>
                <w:lang w:val="en-GB"/>
              </w:rPr>
            </w:pPr>
            <w:r w:rsidRPr="0083254F">
              <w:rPr>
                <w:b/>
                <w:lang w:val="en-GB"/>
              </w:rPr>
              <w:t>Related UNCDF IRRM 2014-2017 indicator:</w:t>
            </w:r>
            <w:r w:rsidRPr="0083254F">
              <w:rPr>
                <w:lang w:val="en-GB"/>
              </w:rPr>
              <w:t xml:space="preserve"> </w:t>
            </w:r>
            <w:r>
              <w:rPr>
                <w:lang w:val="en-GB"/>
              </w:rPr>
              <w:t>New</w:t>
            </w:r>
          </w:p>
          <w:p w14:paraId="40DE37D6" w14:textId="4F7AC5AF" w:rsidR="00AB5051" w:rsidRPr="0083254F" w:rsidRDefault="00AB5051" w:rsidP="00AB5051">
            <w:pPr>
              <w:rPr>
                <w:lang w:val="en-GB"/>
              </w:rPr>
            </w:pPr>
            <w:r w:rsidRPr="0083254F">
              <w:rPr>
                <w:b/>
                <w:lang w:val="en-GB"/>
              </w:rPr>
              <w:t>Data source:</w:t>
            </w:r>
            <w:r w:rsidRPr="0083254F">
              <w:rPr>
                <w:lang w:val="en-GB"/>
              </w:rPr>
              <w:t xml:space="preserve"> HQ Management Support unit</w:t>
            </w:r>
          </w:p>
        </w:tc>
      </w:tr>
      <w:tr w:rsidR="007303E4" w:rsidRPr="0083254F" w14:paraId="061916F9" w14:textId="77777777" w:rsidTr="00C666C2">
        <w:tc>
          <w:tcPr>
            <w:tcW w:w="751" w:type="dxa"/>
            <w:vMerge w:val="restart"/>
          </w:tcPr>
          <w:p w14:paraId="504D9621" w14:textId="35ED20FD" w:rsidR="004A3BD8" w:rsidRPr="0009018E" w:rsidRDefault="004A3BD8" w:rsidP="004A3BD8">
            <w:pPr>
              <w:rPr>
                <w:lang w:val="en-GB"/>
              </w:rPr>
            </w:pPr>
            <w:r w:rsidRPr="0009018E">
              <w:rPr>
                <w:lang w:val="en-GB"/>
              </w:rPr>
              <w:t>IE1.9</w:t>
            </w:r>
          </w:p>
        </w:tc>
        <w:tc>
          <w:tcPr>
            <w:tcW w:w="5963" w:type="dxa"/>
          </w:tcPr>
          <w:p w14:paraId="4B8555F7" w14:textId="6517567C" w:rsidR="004A3BD8" w:rsidRPr="0009018E" w:rsidRDefault="004A3BD8" w:rsidP="004A3BD8">
            <w:pPr>
              <w:rPr>
                <w:lang w:val="en-GB"/>
              </w:rPr>
            </w:pPr>
            <w:r w:rsidRPr="0009018E">
              <w:rPr>
                <w:lang w:val="en-GB"/>
              </w:rPr>
              <w:t>Number of times UNCDF had to access its operational reserves</w:t>
            </w:r>
          </w:p>
        </w:tc>
        <w:tc>
          <w:tcPr>
            <w:tcW w:w="1248" w:type="dxa"/>
          </w:tcPr>
          <w:p w14:paraId="553FC6BC" w14:textId="4B5DC550" w:rsidR="004A3BD8" w:rsidRDefault="004A3BD8" w:rsidP="004A3BD8">
            <w:pPr>
              <w:rPr>
                <w:lang w:val="en-GB"/>
              </w:rPr>
            </w:pPr>
            <w:r>
              <w:rPr>
                <w:lang w:val="en-GB"/>
              </w:rPr>
              <w:t>0</w:t>
            </w:r>
          </w:p>
        </w:tc>
        <w:tc>
          <w:tcPr>
            <w:tcW w:w="1246" w:type="dxa"/>
          </w:tcPr>
          <w:p w14:paraId="0AB80A9E" w14:textId="676767F9" w:rsidR="004A3BD8" w:rsidRDefault="004A3BD8" w:rsidP="004A3BD8">
            <w:pPr>
              <w:rPr>
                <w:lang w:val="en-GB"/>
              </w:rPr>
            </w:pPr>
            <w:r>
              <w:rPr>
                <w:lang w:val="en-GB"/>
              </w:rPr>
              <w:t>0</w:t>
            </w:r>
          </w:p>
        </w:tc>
        <w:tc>
          <w:tcPr>
            <w:tcW w:w="1246" w:type="dxa"/>
          </w:tcPr>
          <w:p w14:paraId="517C0D97" w14:textId="050CBA77" w:rsidR="004A3BD8" w:rsidRDefault="004A3BD8" w:rsidP="004A3BD8">
            <w:pPr>
              <w:rPr>
                <w:lang w:val="en-GB"/>
              </w:rPr>
            </w:pPr>
            <w:r>
              <w:rPr>
                <w:lang w:val="en-GB"/>
              </w:rPr>
              <w:t>0</w:t>
            </w:r>
          </w:p>
        </w:tc>
        <w:tc>
          <w:tcPr>
            <w:tcW w:w="1246" w:type="dxa"/>
          </w:tcPr>
          <w:p w14:paraId="1F222A8E" w14:textId="545A1622" w:rsidR="004A3BD8" w:rsidRDefault="004A3BD8" w:rsidP="004A3BD8">
            <w:pPr>
              <w:rPr>
                <w:lang w:val="en-GB"/>
              </w:rPr>
            </w:pPr>
            <w:r>
              <w:rPr>
                <w:lang w:val="en-GB"/>
              </w:rPr>
              <w:t>0</w:t>
            </w:r>
          </w:p>
        </w:tc>
        <w:tc>
          <w:tcPr>
            <w:tcW w:w="1250" w:type="dxa"/>
          </w:tcPr>
          <w:p w14:paraId="7CC7551C" w14:textId="1F100B51" w:rsidR="004A3BD8" w:rsidRDefault="004A3BD8" w:rsidP="004A3BD8">
            <w:pPr>
              <w:rPr>
                <w:lang w:val="en-GB"/>
              </w:rPr>
            </w:pPr>
            <w:r>
              <w:rPr>
                <w:lang w:val="en-GB"/>
              </w:rPr>
              <w:t>0</w:t>
            </w:r>
          </w:p>
        </w:tc>
      </w:tr>
      <w:tr w:rsidR="00C666C2" w:rsidRPr="0083254F" w14:paraId="4CC9995E" w14:textId="77777777" w:rsidTr="00B56D94">
        <w:tc>
          <w:tcPr>
            <w:tcW w:w="751" w:type="dxa"/>
            <w:vMerge/>
          </w:tcPr>
          <w:p w14:paraId="558E41DA" w14:textId="77777777" w:rsidR="00C666C2" w:rsidRPr="0009018E" w:rsidRDefault="00C666C2" w:rsidP="004A3BD8">
            <w:pPr>
              <w:rPr>
                <w:lang w:val="en-GB"/>
              </w:rPr>
            </w:pPr>
          </w:p>
        </w:tc>
        <w:tc>
          <w:tcPr>
            <w:tcW w:w="12199" w:type="dxa"/>
            <w:gridSpan w:val="6"/>
            <w:shd w:val="clear" w:color="auto" w:fill="D9D9D9" w:themeFill="background1" w:themeFillShade="D9"/>
          </w:tcPr>
          <w:p w14:paraId="446DBB98" w14:textId="77777777" w:rsidR="00C666C2" w:rsidRPr="0083254F" w:rsidRDefault="00C666C2" w:rsidP="004A3BD8">
            <w:pPr>
              <w:rPr>
                <w:lang w:val="en-GB"/>
              </w:rPr>
            </w:pPr>
            <w:r w:rsidRPr="0083254F">
              <w:rPr>
                <w:b/>
                <w:lang w:val="en-GB"/>
              </w:rPr>
              <w:t>Related UNCDF IRRM 2014-2017 indicator:</w:t>
            </w:r>
            <w:r w:rsidRPr="0083254F">
              <w:rPr>
                <w:lang w:val="en-GB"/>
              </w:rPr>
              <w:t xml:space="preserve"> </w:t>
            </w:r>
            <w:r>
              <w:rPr>
                <w:lang w:val="en-GB"/>
              </w:rPr>
              <w:t>New</w:t>
            </w:r>
          </w:p>
          <w:p w14:paraId="29CA3114" w14:textId="40C28F02" w:rsidR="00C666C2" w:rsidRDefault="00C666C2" w:rsidP="004A3BD8">
            <w:pPr>
              <w:rPr>
                <w:lang w:val="en-GB"/>
              </w:rPr>
            </w:pPr>
            <w:r w:rsidRPr="0083254F">
              <w:rPr>
                <w:b/>
                <w:lang w:val="en-GB"/>
              </w:rPr>
              <w:t>Data source:</w:t>
            </w:r>
            <w:r w:rsidRPr="0083254F">
              <w:rPr>
                <w:lang w:val="en-GB"/>
              </w:rPr>
              <w:t xml:space="preserve"> HQ Management Support unit</w:t>
            </w:r>
          </w:p>
        </w:tc>
      </w:tr>
      <w:tr w:rsidR="007303E4" w:rsidRPr="0083254F" w14:paraId="4475BEEB" w14:textId="77777777" w:rsidTr="00C666C2">
        <w:tc>
          <w:tcPr>
            <w:tcW w:w="751" w:type="dxa"/>
            <w:vMerge w:val="restart"/>
          </w:tcPr>
          <w:p w14:paraId="1EC92DC6" w14:textId="27572C8F" w:rsidR="004A3BD8" w:rsidRPr="0009018E" w:rsidRDefault="004A3BD8" w:rsidP="004A3BD8">
            <w:pPr>
              <w:rPr>
                <w:lang w:val="en-GB"/>
              </w:rPr>
            </w:pPr>
            <w:r w:rsidRPr="0009018E">
              <w:rPr>
                <w:lang w:val="en-GB"/>
              </w:rPr>
              <w:t>IE1.</w:t>
            </w:r>
            <w:r w:rsidR="0065552A">
              <w:rPr>
                <w:lang w:val="en-GB"/>
              </w:rPr>
              <w:t>1</w:t>
            </w:r>
            <w:r>
              <w:rPr>
                <w:lang w:val="en-GB"/>
              </w:rPr>
              <w:t>0</w:t>
            </w:r>
          </w:p>
        </w:tc>
        <w:tc>
          <w:tcPr>
            <w:tcW w:w="5963" w:type="dxa"/>
          </w:tcPr>
          <w:p w14:paraId="26EDD1E2" w14:textId="77CE1A56" w:rsidR="004A3BD8" w:rsidRPr="0009018E" w:rsidRDefault="004A3BD8" w:rsidP="004A3BD8">
            <w:pPr>
              <w:rPr>
                <w:lang w:val="en-GB"/>
              </w:rPr>
            </w:pPr>
            <w:r>
              <w:rPr>
                <w:lang w:val="en-GB"/>
              </w:rPr>
              <w:t xml:space="preserve">Capital efficiency ratio, which measures the ratio of non-UNCDF investments directly catalysed by UNCDF finance mechanisms </w:t>
            </w:r>
            <w:r>
              <w:rPr>
                <w:lang w:val="en-GB"/>
              </w:rPr>
              <w:lastRenderedPageBreak/>
              <w:t xml:space="preserve">against UNCDF investments, disaggregated by type of finance mechanism </w:t>
            </w:r>
          </w:p>
        </w:tc>
        <w:tc>
          <w:tcPr>
            <w:tcW w:w="1248" w:type="dxa"/>
          </w:tcPr>
          <w:p w14:paraId="7D8F25C7" w14:textId="77777777" w:rsidR="004A3BD8" w:rsidRPr="00B56D94" w:rsidRDefault="004A3BD8" w:rsidP="004A3BD8">
            <w:pPr>
              <w:rPr>
                <w:sz w:val="20"/>
                <w:szCs w:val="20"/>
                <w:lang w:val="en-GB"/>
              </w:rPr>
            </w:pPr>
            <w:r w:rsidRPr="00B56D94">
              <w:rPr>
                <w:sz w:val="20"/>
                <w:szCs w:val="20"/>
                <w:lang w:val="en-GB"/>
              </w:rPr>
              <w:lastRenderedPageBreak/>
              <w:t xml:space="preserve">a) Grant: </w:t>
            </w:r>
          </w:p>
          <w:p w14:paraId="4E414EC0" w14:textId="7E93434E" w:rsidR="004A3BD8" w:rsidRPr="00B56D94" w:rsidRDefault="004A3BD8" w:rsidP="004A3BD8">
            <w:pPr>
              <w:rPr>
                <w:sz w:val="20"/>
                <w:szCs w:val="20"/>
                <w:lang w:val="en-GB"/>
              </w:rPr>
            </w:pPr>
            <w:r w:rsidRPr="00B56D94">
              <w:rPr>
                <w:sz w:val="20"/>
                <w:szCs w:val="20"/>
                <w:lang w:val="en-GB"/>
              </w:rPr>
              <w:t>1 to 1.7</w:t>
            </w:r>
          </w:p>
          <w:p w14:paraId="14F8A257" w14:textId="565532EE" w:rsidR="004A3BD8" w:rsidRPr="00B56D94" w:rsidRDefault="004A3BD8" w:rsidP="004A3BD8">
            <w:pPr>
              <w:rPr>
                <w:sz w:val="20"/>
                <w:szCs w:val="20"/>
                <w:lang w:val="en-GB"/>
              </w:rPr>
            </w:pPr>
            <w:r w:rsidRPr="00B56D94">
              <w:rPr>
                <w:sz w:val="20"/>
                <w:szCs w:val="20"/>
                <w:lang w:val="en-GB"/>
              </w:rPr>
              <w:lastRenderedPageBreak/>
              <w:t xml:space="preserve">b) Loans: </w:t>
            </w:r>
          </w:p>
          <w:p w14:paraId="7FDF8D61" w14:textId="3186A1C4" w:rsidR="004A3BD8" w:rsidRPr="00B56D94" w:rsidRDefault="004A3BD8" w:rsidP="004A3BD8">
            <w:pPr>
              <w:rPr>
                <w:sz w:val="20"/>
                <w:szCs w:val="20"/>
                <w:lang w:val="en-GB"/>
              </w:rPr>
            </w:pPr>
            <w:r w:rsidRPr="00B56D94">
              <w:rPr>
                <w:sz w:val="20"/>
                <w:szCs w:val="20"/>
                <w:lang w:val="en-GB"/>
              </w:rPr>
              <w:t>1 to 3</w:t>
            </w:r>
          </w:p>
          <w:p w14:paraId="1BA86C54" w14:textId="77777777" w:rsidR="004A3BD8" w:rsidRPr="00B56D94" w:rsidRDefault="004A3BD8" w:rsidP="004A3BD8">
            <w:pPr>
              <w:rPr>
                <w:sz w:val="20"/>
                <w:szCs w:val="20"/>
                <w:lang w:val="en-GB"/>
              </w:rPr>
            </w:pPr>
            <w:r w:rsidRPr="00B56D94">
              <w:rPr>
                <w:sz w:val="20"/>
                <w:szCs w:val="20"/>
                <w:lang w:val="en-GB"/>
              </w:rPr>
              <w:t>c) Guarantee: NA</w:t>
            </w:r>
          </w:p>
          <w:p w14:paraId="1E243391" w14:textId="77777777" w:rsidR="004A3BD8" w:rsidRDefault="004A3BD8" w:rsidP="004A3BD8">
            <w:pPr>
              <w:rPr>
                <w:sz w:val="20"/>
                <w:szCs w:val="20"/>
                <w:lang w:val="en-GB"/>
              </w:rPr>
            </w:pPr>
            <w:r w:rsidRPr="00B56D94">
              <w:rPr>
                <w:sz w:val="20"/>
                <w:szCs w:val="20"/>
                <w:lang w:val="en-GB"/>
              </w:rPr>
              <w:t xml:space="preserve">d) Domestic Savings: </w:t>
            </w:r>
          </w:p>
          <w:p w14:paraId="0C99937C" w14:textId="418172F7" w:rsidR="004A3BD8" w:rsidRPr="0083254F" w:rsidRDefault="004A3BD8" w:rsidP="004A3BD8">
            <w:pPr>
              <w:rPr>
                <w:lang w:val="en-GB"/>
              </w:rPr>
            </w:pPr>
            <w:r w:rsidRPr="00B56D94">
              <w:rPr>
                <w:sz w:val="20"/>
                <w:szCs w:val="20"/>
                <w:lang w:val="en-GB"/>
              </w:rPr>
              <w:t>1 to 7</w:t>
            </w:r>
          </w:p>
        </w:tc>
        <w:tc>
          <w:tcPr>
            <w:tcW w:w="1246" w:type="dxa"/>
          </w:tcPr>
          <w:p w14:paraId="7FC4306C" w14:textId="77777777" w:rsidR="004A3BD8" w:rsidRDefault="004A3BD8" w:rsidP="004A3BD8">
            <w:pPr>
              <w:rPr>
                <w:lang w:val="en-GB"/>
              </w:rPr>
            </w:pPr>
            <w:r>
              <w:rPr>
                <w:lang w:val="en-GB"/>
              </w:rPr>
              <w:lastRenderedPageBreak/>
              <w:t>a) 1 to 1.5</w:t>
            </w:r>
          </w:p>
          <w:p w14:paraId="77799C36" w14:textId="77777777" w:rsidR="004A3BD8" w:rsidRDefault="004A3BD8" w:rsidP="004A3BD8">
            <w:pPr>
              <w:rPr>
                <w:lang w:val="en-GB"/>
              </w:rPr>
            </w:pPr>
            <w:r>
              <w:rPr>
                <w:lang w:val="en-GB"/>
              </w:rPr>
              <w:t>b) 1 to 1</w:t>
            </w:r>
          </w:p>
          <w:p w14:paraId="7E87F961" w14:textId="77777777" w:rsidR="004A3BD8" w:rsidRDefault="004A3BD8" w:rsidP="004A3BD8">
            <w:pPr>
              <w:rPr>
                <w:lang w:val="en-GB"/>
              </w:rPr>
            </w:pPr>
            <w:r>
              <w:rPr>
                <w:lang w:val="en-GB"/>
              </w:rPr>
              <w:lastRenderedPageBreak/>
              <w:t>c) 1 to 2.6</w:t>
            </w:r>
          </w:p>
          <w:p w14:paraId="7ABBC15A" w14:textId="1D8FAB28" w:rsidR="004A3BD8" w:rsidRPr="0083254F" w:rsidRDefault="004A3BD8" w:rsidP="004A3BD8">
            <w:pPr>
              <w:rPr>
                <w:lang w:val="en-GB"/>
              </w:rPr>
            </w:pPr>
            <w:r>
              <w:rPr>
                <w:lang w:val="en-GB"/>
              </w:rPr>
              <w:t>d) 1 to 5</w:t>
            </w:r>
          </w:p>
        </w:tc>
        <w:tc>
          <w:tcPr>
            <w:tcW w:w="1246" w:type="dxa"/>
          </w:tcPr>
          <w:p w14:paraId="7A8A2FA3" w14:textId="77777777" w:rsidR="004A3BD8" w:rsidRDefault="004A3BD8" w:rsidP="004A3BD8">
            <w:pPr>
              <w:rPr>
                <w:lang w:val="en-GB"/>
              </w:rPr>
            </w:pPr>
            <w:r>
              <w:rPr>
                <w:lang w:val="en-GB"/>
              </w:rPr>
              <w:lastRenderedPageBreak/>
              <w:t>a) 1 to 1.5</w:t>
            </w:r>
          </w:p>
          <w:p w14:paraId="22527B8D" w14:textId="77777777" w:rsidR="004A3BD8" w:rsidRDefault="004A3BD8" w:rsidP="004A3BD8">
            <w:pPr>
              <w:rPr>
                <w:lang w:val="en-GB"/>
              </w:rPr>
            </w:pPr>
            <w:r>
              <w:rPr>
                <w:lang w:val="en-GB"/>
              </w:rPr>
              <w:t>b) 1 to 1</w:t>
            </w:r>
          </w:p>
          <w:p w14:paraId="515A8E7D" w14:textId="77777777" w:rsidR="004A3BD8" w:rsidRDefault="004A3BD8" w:rsidP="004A3BD8">
            <w:pPr>
              <w:rPr>
                <w:lang w:val="en-GB"/>
              </w:rPr>
            </w:pPr>
            <w:r>
              <w:rPr>
                <w:lang w:val="en-GB"/>
              </w:rPr>
              <w:lastRenderedPageBreak/>
              <w:t>c) 1 to 2.6</w:t>
            </w:r>
          </w:p>
          <w:p w14:paraId="0FF59A93" w14:textId="2BA5D714" w:rsidR="004A3BD8" w:rsidRPr="0083254F" w:rsidRDefault="004A3BD8" w:rsidP="004A3BD8">
            <w:pPr>
              <w:rPr>
                <w:lang w:val="en-GB"/>
              </w:rPr>
            </w:pPr>
            <w:r>
              <w:rPr>
                <w:lang w:val="en-GB"/>
              </w:rPr>
              <w:t>d) 1 to 5</w:t>
            </w:r>
          </w:p>
        </w:tc>
        <w:tc>
          <w:tcPr>
            <w:tcW w:w="1246" w:type="dxa"/>
          </w:tcPr>
          <w:p w14:paraId="6FB6E1B0" w14:textId="77777777" w:rsidR="004A3BD8" w:rsidRDefault="004A3BD8" w:rsidP="004A3BD8">
            <w:pPr>
              <w:rPr>
                <w:lang w:val="en-GB"/>
              </w:rPr>
            </w:pPr>
            <w:r>
              <w:rPr>
                <w:lang w:val="en-GB"/>
              </w:rPr>
              <w:lastRenderedPageBreak/>
              <w:t>a) 1 to 1.5</w:t>
            </w:r>
          </w:p>
          <w:p w14:paraId="55FD22FC" w14:textId="77777777" w:rsidR="004A3BD8" w:rsidRDefault="004A3BD8" w:rsidP="004A3BD8">
            <w:pPr>
              <w:rPr>
                <w:lang w:val="en-GB"/>
              </w:rPr>
            </w:pPr>
            <w:r>
              <w:rPr>
                <w:lang w:val="en-GB"/>
              </w:rPr>
              <w:t>b) 1 to 1</w:t>
            </w:r>
          </w:p>
          <w:p w14:paraId="6B33F5BC" w14:textId="77777777" w:rsidR="004A3BD8" w:rsidRDefault="004A3BD8" w:rsidP="004A3BD8">
            <w:pPr>
              <w:rPr>
                <w:lang w:val="en-GB"/>
              </w:rPr>
            </w:pPr>
            <w:r>
              <w:rPr>
                <w:lang w:val="en-GB"/>
              </w:rPr>
              <w:lastRenderedPageBreak/>
              <w:t>c) 1 to 2.6</w:t>
            </w:r>
          </w:p>
          <w:p w14:paraId="5C37BD10" w14:textId="1438E0ED" w:rsidR="004A3BD8" w:rsidRPr="0083254F" w:rsidRDefault="004A3BD8" w:rsidP="004A3BD8">
            <w:pPr>
              <w:rPr>
                <w:lang w:val="en-GB"/>
              </w:rPr>
            </w:pPr>
            <w:r>
              <w:rPr>
                <w:lang w:val="en-GB"/>
              </w:rPr>
              <w:t>d) 1 to 5</w:t>
            </w:r>
          </w:p>
        </w:tc>
        <w:tc>
          <w:tcPr>
            <w:tcW w:w="1250" w:type="dxa"/>
          </w:tcPr>
          <w:p w14:paraId="455140FB" w14:textId="77777777" w:rsidR="004A3BD8" w:rsidRDefault="004A3BD8" w:rsidP="004A3BD8">
            <w:pPr>
              <w:rPr>
                <w:lang w:val="en-GB"/>
              </w:rPr>
            </w:pPr>
            <w:r>
              <w:rPr>
                <w:lang w:val="en-GB"/>
              </w:rPr>
              <w:lastRenderedPageBreak/>
              <w:t>a) 1 to 1.5</w:t>
            </w:r>
          </w:p>
          <w:p w14:paraId="5936BAFE" w14:textId="77777777" w:rsidR="004A3BD8" w:rsidRDefault="004A3BD8" w:rsidP="004A3BD8">
            <w:pPr>
              <w:rPr>
                <w:lang w:val="en-GB"/>
              </w:rPr>
            </w:pPr>
            <w:r>
              <w:rPr>
                <w:lang w:val="en-GB"/>
              </w:rPr>
              <w:t>b) 1 to 1</w:t>
            </w:r>
          </w:p>
          <w:p w14:paraId="23B08C00" w14:textId="77777777" w:rsidR="004A3BD8" w:rsidRDefault="004A3BD8" w:rsidP="004A3BD8">
            <w:pPr>
              <w:rPr>
                <w:lang w:val="en-GB"/>
              </w:rPr>
            </w:pPr>
            <w:r>
              <w:rPr>
                <w:lang w:val="en-GB"/>
              </w:rPr>
              <w:lastRenderedPageBreak/>
              <w:t>c) 1 to 2.6</w:t>
            </w:r>
          </w:p>
          <w:p w14:paraId="615CE979" w14:textId="6519A296" w:rsidR="004A3BD8" w:rsidRPr="0083254F" w:rsidRDefault="004A3BD8" w:rsidP="004A3BD8">
            <w:pPr>
              <w:rPr>
                <w:lang w:val="en-GB"/>
              </w:rPr>
            </w:pPr>
            <w:r>
              <w:rPr>
                <w:lang w:val="en-GB"/>
              </w:rPr>
              <w:t>d) 1 to 5</w:t>
            </w:r>
          </w:p>
        </w:tc>
      </w:tr>
      <w:tr w:rsidR="004A3BD8" w:rsidRPr="004A3BD8" w14:paraId="60E4225A" w14:textId="77777777" w:rsidTr="00B56D94">
        <w:tc>
          <w:tcPr>
            <w:tcW w:w="751" w:type="dxa"/>
            <w:vMerge/>
          </w:tcPr>
          <w:p w14:paraId="742A0FCA" w14:textId="77777777" w:rsidR="004A3BD8" w:rsidRPr="0083254F" w:rsidRDefault="004A3BD8" w:rsidP="004A3BD8">
            <w:pPr>
              <w:rPr>
                <w:lang w:val="en-GB"/>
              </w:rPr>
            </w:pPr>
          </w:p>
        </w:tc>
        <w:tc>
          <w:tcPr>
            <w:tcW w:w="12199" w:type="dxa"/>
            <w:gridSpan w:val="6"/>
            <w:shd w:val="clear" w:color="auto" w:fill="D9D9D9" w:themeFill="background1" w:themeFillShade="D9"/>
          </w:tcPr>
          <w:p w14:paraId="321611EB" w14:textId="106A382A" w:rsidR="004A3BD8" w:rsidRPr="0083254F" w:rsidRDefault="004A3BD8" w:rsidP="004A3BD8">
            <w:pPr>
              <w:rPr>
                <w:lang w:val="en-GB"/>
              </w:rPr>
            </w:pPr>
            <w:r w:rsidRPr="0083254F">
              <w:rPr>
                <w:b/>
                <w:lang w:val="en-GB"/>
              </w:rPr>
              <w:t>Related UNCDF IRRM 2014-2017 indicator:</w:t>
            </w:r>
            <w:r w:rsidRPr="0083254F">
              <w:rPr>
                <w:lang w:val="en-GB"/>
              </w:rPr>
              <w:t xml:space="preserve"> </w:t>
            </w:r>
            <w:r>
              <w:rPr>
                <w:lang w:val="en-GB"/>
              </w:rPr>
              <w:t>New</w:t>
            </w:r>
          </w:p>
          <w:p w14:paraId="3B73B499" w14:textId="3870A9D2" w:rsidR="004A3BD8" w:rsidRPr="00B56D94" w:rsidRDefault="004A3BD8" w:rsidP="004A3BD8">
            <w:r w:rsidRPr="00B56D94">
              <w:rPr>
                <w:b/>
              </w:rPr>
              <w:t>Data source:</w:t>
            </w:r>
            <w:r w:rsidRPr="00B56D94">
              <w:t xml:space="preserve"> HQ Programme Management Support unit </w:t>
            </w:r>
          </w:p>
        </w:tc>
      </w:tr>
    </w:tbl>
    <w:p w14:paraId="2B06CF8E" w14:textId="77777777" w:rsidR="002A33DD" w:rsidRPr="00B56D94" w:rsidRDefault="002A33DD" w:rsidP="00D70690">
      <w:pPr>
        <w:spacing w:after="0" w:line="240" w:lineRule="auto"/>
      </w:pPr>
    </w:p>
    <w:p w14:paraId="3F5553E7" w14:textId="77777777" w:rsidR="008414CD" w:rsidRPr="00B56D94" w:rsidRDefault="008414CD" w:rsidP="008414CD">
      <w:pPr>
        <w:spacing w:after="0" w:line="240" w:lineRule="auto"/>
      </w:pPr>
    </w:p>
    <w:tbl>
      <w:tblPr>
        <w:tblStyle w:val="TableGrid"/>
        <w:tblW w:w="0" w:type="auto"/>
        <w:tblCellMar>
          <w:left w:w="43" w:type="dxa"/>
          <w:right w:w="43" w:type="dxa"/>
        </w:tblCellMar>
        <w:tblLook w:val="04A0" w:firstRow="1" w:lastRow="0" w:firstColumn="1" w:lastColumn="0" w:noHBand="0" w:noVBand="1"/>
      </w:tblPr>
      <w:tblGrid>
        <w:gridCol w:w="532"/>
        <w:gridCol w:w="6177"/>
        <w:gridCol w:w="1249"/>
        <w:gridCol w:w="1248"/>
        <w:gridCol w:w="1248"/>
        <w:gridCol w:w="1248"/>
        <w:gridCol w:w="1248"/>
      </w:tblGrid>
      <w:tr w:rsidR="008414CD" w:rsidRPr="0083254F" w14:paraId="298E6A39" w14:textId="77777777" w:rsidTr="00EF3F5A">
        <w:trPr>
          <w:trHeight w:val="386"/>
        </w:trPr>
        <w:tc>
          <w:tcPr>
            <w:tcW w:w="12950" w:type="dxa"/>
            <w:gridSpan w:val="7"/>
            <w:shd w:val="clear" w:color="auto" w:fill="BDD6EE" w:themeFill="accent5" w:themeFillTint="66"/>
            <w:vAlign w:val="center"/>
          </w:tcPr>
          <w:p w14:paraId="47808C2D" w14:textId="7AAAB4D1" w:rsidR="008414CD" w:rsidRPr="0083254F" w:rsidRDefault="008414CD" w:rsidP="00EF3F5A">
            <w:pPr>
              <w:rPr>
                <w:lang w:val="en-GB"/>
              </w:rPr>
            </w:pPr>
            <w:r w:rsidRPr="0083254F">
              <w:rPr>
                <w:b/>
                <w:sz w:val="24"/>
                <w:szCs w:val="24"/>
                <w:lang w:val="en-GB"/>
              </w:rPr>
              <w:t xml:space="preserve">Institutional </w:t>
            </w:r>
            <w:r w:rsidR="00F3701B">
              <w:rPr>
                <w:b/>
                <w:sz w:val="24"/>
                <w:szCs w:val="24"/>
                <w:lang w:val="en-GB"/>
              </w:rPr>
              <w:t>Effectiveness</w:t>
            </w:r>
            <w:r w:rsidRPr="0083254F">
              <w:rPr>
                <w:b/>
                <w:sz w:val="24"/>
                <w:szCs w:val="24"/>
                <w:lang w:val="en-GB"/>
              </w:rPr>
              <w:t xml:space="preserve"> </w:t>
            </w:r>
            <w:r>
              <w:rPr>
                <w:b/>
                <w:sz w:val="24"/>
                <w:szCs w:val="24"/>
                <w:lang w:val="en-GB"/>
              </w:rPr>
              <w:t>2</w:t>
            </w:r>
            <w:r w:rsidRPr="0083254F">
              <w:rPr>
                <w:b/>
                <w:sz w:val="24"/>
                <w:szCs w:val="24"/>
                <w:lang w:val="en-GB"/>
              </w:rPr>
              <w:t xml:space="preserve">: </w:t>
            </w:r>
            <w:r w:rsidR="00834477">
              <w:rPr>
                <w:b/>
                <w:sz w:val="24"/>
                <w:szCs w:val="24"/>
                <w:lang w:val="en-GB"/>
              </w:rPr>
              <w:t>Partnerships with public and private stakeholders</w:t>
            </w:r>
          </w:p>
        </w:tc>
      </w:tr>
      <w:tr w:rsidR="008414CD" w:rsidRPr="0083254F" w14:paraId="04A1FEDA" w14:textId="77777777" w:rsidTr="00EF3F5A">
        <w:tc>
          <w:tcPr>
            <w:tcW w:w="6709" w:type="dxa"/>
            <w:gridSpan w:val="2"/>
            <w:shd w:val="clear" w:color="auto" w:fill="F2F2F2" w:themeFill="background1" w:themeFillShade="F2"/>
          </w:tcPr>
          <w:p w14:paraId="578DD84F" w14:textId="77777777" w:rsidR="008414CD" w:rsidRPr="0083254F" w:rsidRDefault="008414CD" w:rsidP="00EF3F5A">
            <w:pPr>
              <w:rPr>
                <w:lang w:val="en-GB"/>
              </w:rPr>
            </w:pPr>
            <w:r>
              <w:rPr>
                <w:b/>
                <w:lang w:val="en-GB"/>
              </w:rPr>
              <w:t xml:space="preserve">Institutional Effectiveness </w:t>
            </w:r>
            <w:r w:rsidRPr="0083254F">
              <w:rPr>
                <w:b/>
                <w:lang w:val="en-GB"/>
              </w:rPr>
              <w:t>indicators</w:t>
            </w:r>
          </w:p>
        </w:tc>
        <w:tc>
          <w:tcPr>
            <w:tcW w:w="1249" w:type="dxa"/>
            <w:shd w:val="clear" w:color="auto" w:fill="F2F2F2" w:themeFill="background1" w:themeFillShade="F2"/>
          </w:tcPr>
          <w:p w14:paraId="77B0331A" w14:textId="77777777" w:rsidR="008414CD" w:rsidRPr="0083254F" w:rsidRDefault="008414CD" w:rsidP="00EF3F5A">
            <w:pPr>
              <w:rPr>
                <w:lang w:val="en-GB"/>
              </w:rPr>
            </w:pPr>
            <w:r w:rsidRPr="0083254F">
              <w:rPr>
                <w:b/>
                <w:lang w:val="en-GB"/>
              </w:rPr>
              <w:t>Baseline</w:t>
            </w:r>
          </w:p>
        </w:tc>
        <w:tc>
          <w:tcPr>
            <w:tcW w:w="1248" w:type="dxa"/>
            <w:shd w:val="clear" w:color="auto" w:fill="F2F2F2" w:themeFill="background1" w:themeFillShade="F2"/>
          </w:tcPr>
          <w:p w14:paraId="3DA55592" w14:textId="77777777" w:rsidR="008414CD" w:rsidRPr="0083254F" w:rsidRDefault="008414CD" w:rsidP="00EF3F5A">
            <w:pPr>
              <w:rPr>
                <w:lang w:val="en-GB"/>
              </w:rPr>
            </w:pPr>
            <w:r w:rsidRPr="0083254F">
              <w:rPr>
                <w:b/>
                <w:lang w:val="en-GB"/>
              </w:rPr>
              <w:t>2018 Target</w:t>
            </w:r>
          </w:p>
        </w:tc>
        <w:tc>
          <w:tcPr>
            <w:tcW w:w="1248" w:type="dxa"/>
            <w:shd w:val="clear" w:color="auto" w:fill="F2F2F2" w:themeFill="background1" w:themeFillShade="F2"/>
          </w:tcPr>
          <w:p w14:paraId="0AD095E3" w14:textId="77777777" w:rsidR="008414CD" w:rsidRPr="0083254F" w:rsidRDefault="008414CD" w:rsidP="00EF3F5A">
            <w:pPr>
              <w:rPr>
                <w:lang w:val="en-GB"/>
              </w:rPr>
            </w:pPr>
            <w:r w:rsidRPr="0083254F">
              <w:rPr>
                <w:b/>
                <w:lang w:val="en-GB"/>
              </w:rPr>
              <w:t>2019 Target</w:t>
            </w:r>
          </w:p>
        </w:tc>
        <w:tc>
          <w:tcPr>
            <w:tcW w:w="1248" w:type="dxa"/>
            <w:shd w:val="clear" w:color="auto" w:fill="F2F2F2" w:themeFill="background1" w:themeFillShade="F2"/>
          </w:tcPr>
          <w:p w14:paraId="7F12E2C1" w14:textId="77777777" w:rsidR="008414CD" w:rsidRPr="0083254F" w:rsidRDefault="008414CD" w:rsidP="00EF3F5A">
            <w:pPr>
              <w:rPr>
                <w:lang w:val="en-GB"/>
              </w:rPr>
            </w:pPr>
            <w:r w:rsidRPr="0083254F">
              <w:rPr>
                <w:b/>
                <w:lang w:val="en-GB"/>
              </w:rPr>
              <w:t>2020 Target</w:t>
            </w:r>
          </w:p>
        </w:tc>
        <w:tc>
          <w:tcPr>
            <w:tcW w:w="1248" w:type="dxa"/>
            <w:shd w:val="clear" w:color="auto" w:fill="F2F2F2" w:themeFill="background1" w:themeFillShade="F2"/>
          </w:tcPr>
          <w:p w14:paraId="1291F649" w14:textId="77777777" w:rsidR="008414CD" w:rsidRPr="0083254F" w:rsidRDefault="008414CD" w:rsidP="00EF3F5A">
            <w:pPr>
              <w:rPr>
                <w:lang w:val="en-GB"/>
              </w:rPr>
            </w:pPr>
            <w:r w:rsidRPr="0083254F">
              <w:rPr>
                <w:b/>
                <w:lang w:val="en-GB"/>
              </w:rPr>
              <w:t>2021 Target</w:t>
            </w:r>
          </w:p>
        </w:tc>
      </w:tr>
      <w:tr w:rsidR="008414CD" w:rsidRPr="0083254F" w14:paraId="2A482907" w14:textId="77777777" w:rsidTr="00EF3F5A">
        <w:tc>
          <w:tcPr>
            <w:tcW w:w="532" w:type="dxa"/>
            <w:vMerge w:val="restart"/>
          </w:tcPr>
          <w:p w14:paraId="55BAAABD" w14:textId="77777777" w:rsidR="008414CD" w:rsidRPr="0083254F" w:rsidRDefault="008414CD" w:rsidP="00EF3F5A">
            <w:pPr>
              <w:rPr>
                <w:lang w:val="en-GB"/>
              </w:rPr>
            </w:pPr>
            <w:r w:rsidRPr="0083254F">
              <w:rPr>
                <w:lang w:val="en-GB"/>
              </w:rPr>
              <w:t>IE</w:t>
            </w:r>
            <w:r>
              <w:rPr>
                <w:lang w:val="en-GB"/>
              </w:rPr>
              <w:t>2</w:t>
            </w:r>
            <w:r w:rsidRPr="0083254F">
              <w:rPr>
                <w:lang w:val="en-GB"/>
              </w:rPr>
              <w:t>.1</w:t>
            </w:r>
          </w:p>
        </w:tc>
        <w:tc>
          <w:tcPr>
            <w:tcW w:w="6177" w:type="dxa"/>
          </w:tcPr>
          <w:p w14:paraId="753501AE" w14:textId="01E7A5F3" w:rsidR="008414CD" w:rsidRPr="0083254F" w:rsidRDefault="008414CD" w:rsidP="00EF3F5A">
            <w:pPr>
              <w:rPr>
                <w:lang w:val="en-GB"/>
              </w:rPr>
            </w:pPr>
            <w:r w:rsidRPr="0083254F">
              <w:rPr>
                <w:lang w:val="en-GB"/>
              </w:rPr>
              <w:t xml:space="preserve">Number of </w:t>
            </w:r>
            <w:r w:rsidR="009D0CE3">
              <w:rPr>
                <w:lang w:val="en-GB"/>
              </w:rPr>
              <w:t>partners</w:t>
            </w:r>
            <w:r w:rsidRPr="0083254F">
              <w:rPr>
                <w:lang w:val="en-GB"/>
              </w:rPr>
              <w:t xml:space="preserve"> contributing to UNCDF core resources </w:t>
            </w:r>
          </w:p>
        </w:tc>
        <w:tc>
          <w:tcPr>
            <w:tcW w:w="1249" w:type="dxa"/>
          </w:tcPr>
          <w:p w14:paraId="0D8E5511" w14:textId="5477F126" w:rsidR="008414CD" w:rsidRPr="0083254F" w:rsidRDefault="0065552A" w:rsidP="00EF3F5A">
            <w:pPr>
              <w:rPr>
                <w:lang w:val="en-GB"/>
              </w:rPr>
            </w:pPr>
            <w:r>
              <w:rPr>
                <w:lang w:val="en-GB"/>
              </w:rPr>
              <w:t>11</w:t>
            </w:r>
          </w:p>
        </w:tc>
        <w:tc>
          <w:tcPr>
            <w:tcW w:w="1248" w:type="dxa"/>
          </w:tcPr>
          <w:p w14:paraId="28623389" w14:textId="1CC75F08" w:rsidR="008414CD" w:rsidRPr="0083254F" w:rsidRDefault="0065552A" w:rsidP="00EF3F5A">
            <w:pPr>
              <w:rPr>
                <w:lang w:val="en-GB"/>
              </w:rPr>
            </w:pPr>
            <w:r>
              <w:rPr>
                <w:lang w:val="en-GB"/>
              </w:rPr>
              <w:t>12</w:t>
            </w:r>
          </w:p>
        </w:tc>
        <w:tc>
          <w:tcPr>
            <w:tcW w:w="1248" w:type="dxa"/>
          </w:tcPr>
          <w:p w14:paraId="5A5FD7C0" w14:textId="1EB46C43" w:rsidR="008414CD" w:rsidRPr="0083254F" w:rsidRDefault="0065552A" w:rsidP="00EF3F5A">
            <w:pPr>
              <w:rPr>
                <w:lang w:val="en-GB"/>
              </w:rPr>
            </w:pPr>
            <w:r>
              <w:rPr>
                <w:lang w:val="en-GB"/>
              </w:rPr>
              <w:t>14</w:t>
            </w:r>
          </w:p>
        </w:tc>
        <w:tc>
          <w:tcPr>
            <w:tcW w:w="1248" w:type="dxa"/>
          </w:tcPr>
          <w:p w14:paraId="29E4B772" w14:textId="1493B0CB" w:rsidR="008414CD" w:rsidRPr="0083254F" w:rsidRDefault="0065552A" w:rsidP="00EF3F5A">
            <w:pPr>
              <w:rPr>
                <w:lang w:val="en-GB"/>
              </w:rPr>
            </w:pPr>
            <w:r>
              <w:rPr>
                <w:lang w:val="en-GB"/>
              </w:rPr>
              <w:t>16</w:t>
            </w:r>
          </w:p>
        </w:tc>
        <w:tc>
          <w:tcPr>
            <w:tcW w:w="1248" w:type="dxa"/>
          </w:tcPr>
          <w:p w14:paraId="465E49F5" w14:textId="572891C5" w:rsidR="008414CD" w:rsidRPr="0083254F" w:rsidRDefault="0065552A" w:rsidP="00EF3F5A">
            <w:pPr>
              <w:rPr>
                <w:lang w:val="en-GB"/>
              </w:rPr>
            </w:pPr>
            <w:r>
              <w:rPr>
                <w:lang w:val="en-GB"/>
              </w:rPr>
              <w:t>18</w:t>
            </w:r>
          </w:p>
        </w:tc>
      </w:tr>
      <w:tr w:rsidR="008414CD" w:rsidRPr="0083254F" w14:paraId="2DCF6A82" w14:textId="77777777" w:rsidTr="00EF3F5A">
        <w:tc>
          <w:tcPr>
            <w:tcW w:w="532" w:type="dxa"/>
            <w:vMerge/>
          </w:tcPr>
          <w:p w14:paraId="2D5AB009" w14:textId="77777777" w:rsidR="008414CD" w:rsidRPr="0083254F" w:rsidRDefault="008414CD" w:rsidP="00EF3F5A">
            <w:pPr>
              <w:rPr>
                <w:lang w:val="en-GB"/>
              </w:rPr>
            </w:pPr>
          </w:p>
        </w:tc>
        <w:tc>
          <w:tcPr>
            <w:tcW w:w="12418" w:type="dxa"/>
            <w:gridSpan w:val="6"/>
            <w:shd w:val="clear" w:color="auto" w:fill="D0CECE" w:themeFill="background2" w:themeFillShade="E6"/>
          </w:tcPr>
          <w:p w14:paraId="0B200F7B" w14:textId="77777777" w:rsidR="008414CD" w:rsidRPr="0083254F" w:rsidRDefault="008414CD" w:rsidP="00EF3F5A">
            <w:pPr>
              <w:rPr>
                <w:lang w:val="en-GB"/>
              </w:rPr>
            </w:pPr>
            <w:r w:rsidRPr="0083254F">
              <w:rPr>
                <w:b/>
                <w:lang w:val="en-GB"/>
              </w:rPr>
              <w:t>Related UNCDF IRRM 2014-2017 indicator:</w:t>
            </w:r>
            <w:r w:rsidRPr="0083254F">
              <w:rPr>
                <w:lang w:val="en-GB"/>
              </w:rPr>
              <w:t xml:space="preserve"> Institutional Effectiveness indicators 1.7.1</w:t>
            </w:r>
          </w:p>
          <w:p w14:paraId="67FE9CBA" w14:textId="77777777" w:rsidR="008414CD" w:rsidRPr="0083254F" w:rsidRDefault="008414CD" w:rsidP="00EF3F5A">
            <w:pPr>
              <w:rPr>
                <w:lang w:val="en-GB"/>
              </w:rPr>
            </w:pPr>
            <w:r w:rsidRPr="0083254F">
              <w:rPr>
                <w:b/>
                <w:lang w:val="en-GB"/>
              </w:rPr>
              <w:t>Data source:</w:t>
            </w:r>
            <w:r w:rsidRPr="0083254F">
              <w:rPr>
                <w:lang w:val="en-GB"/>
              </w:rPr>
              <w:t xml:space="preserve"> HQ Partnership, Policy and Communication unit</w:t>
            </w:r>
          </w:p>
        </w:tc>
      </w:tr>
      <w:tr w:rsidR="008414CD" w:rsidRPr="0083254F" w14:paraId="08C5017F" w14:textId="77777777" w:rsidTr="00EF3F5A">
        <w:tc>
          <w:tcPr>
            <w:tcW w:w="532" w:type="dxa"/>
            <w:vMerge w:val="restart"/>
          </w:tcPr>
          <w:p w14:paraId="0935B607" w14:textId="77777777" w:rsidR="008414CD" w:rsidRPr="0083254F" w:rsidRDefault="008414CD" w:rsidP="00EF3F5A">
            <w:pPr>
              <w:rPr>
                <w:lang w:val="en-GB"/>
              </w:rPr>
            </w:pPr>
            <w:r w:rsidRPr="0083254F">
              <w:rPr>
                <w:lang w:val="en-GB"/>
              </w:rPr>
              <w:t>IE</w:t>
            </w:r>
            <w:r>
              <w:rPr>
                <w:lang w:val="en-GB"/>
              </w:rPr>
              <w:t>2</w:t>
            </w:r>
            <w:r w:rsidRPr="0083254F">
              <w:rPr>
                <w:lang w:val="en-GB"/>
              </w:rPr>
              <w:t>.2</w:t>
            </w:r>
          </w:p>
        </w:tc>
        <w:tc>
          <w:tcPr>
            <w:tcW w:w="6177" w:type="dxa"/>
          </w:tcPr>
          <w:p w14:paraId="6C94D1E1" w14:textId="16E19250" w:rsidR="008414CD" w:rsidRPr="0083254F" w:rsidRDefault="008414CD" w:rsidP="00EF3F5A">
            <w:pPr>
              <w:rPr>
                <w:lang w:val="en-GB"/>
              </w:rPr>
            </w:pPr>
            <w:r w:rsidRPr="0083254F">
              <w:rPr>
                <w:lang w:val="en-GB"/>
              </w:rPr>
              <w:t xml:space="preserve">Number of </w:t>
            </w:r>
            <w:r w:rsidR="009D0CE3">
              <w:rPr>
                <w:lang w:val="en-GB"/>
              </w:rPr>
              <w:t>partners</w:t>
            </w:r>
            <w:r w:rsidRPr="0083254F">
              <w:rPr>
                <w:lang w:val="en-GB"/>
              </w:rPr>
              <w:t xml:space="preserve"> contributing to UNCDF non-core </w:t>
            </w:r>
            <w:r w:rsidRPr="00F15BE3">
              <w:rPr>
                <w:lang w:val="en-GB"/>
              </w:rPr>
              <w:t>resources</w:t>
            </w:r>
            <w:r w:rsidR="009D0CE3" w:rsidRPr="0099634C">
              <w:rPr>
                <w:lang w:val="en-GB"/>
              </w:rPr>
              <w:t>, disaggregated by government and non-government partners</w:t>
            </w:r>
          </w:p>
        </w:tc>
        <w:tc>
          <w:tcPr>
            <w:tcW w:w="1249" w:type="dxa"/>
          </w:tcPr>
          <w:p w14:paraId="24448C71" w14:textId="456FFE97" w:rsidR="008414CD" w:rsidRPr="0083254F" w:rsidRDefault="0065552A" w:rsidP="00EF3F5A">
            <w:pPr>
              <w:rPr>
                <w:lang w:val="en-GB"/>
              </w:rPr>
            </w:pPr>
            <w:r>
              <w:rPr>
                <w:lang w:val="en-GB"/>
              </w:rPr>
              <w:t>33</w:t>
            </w:r>
          </w:p>
        </w:tc>
        <w:tc>
          <w:tcPr>
            <w:tcW w:w="1248" w:type="dxa"/>
          </w:tcPr>
          <w:p w14:paraId="74CC8D82" w14:textId="4E685619" w:rsidR="008414CD" w:rsidRPr="0083254F" w:rsidRDefault="0065552A" w:rsidP="00EF3F5A">
            <w:pPr>
              <w:rPr>
                <w:lang w:val="en-GB"/>
              </w:rPr>
            </w:pPr>
            <w:r>
              <w:rPr>
                <w:lang w:val="en-GB"/>
              </w:rPr>
              <w:t>33</w:t>
            </w:r>
          </w:p>
        </w:tc>
        <w:tc>
          <w:tcPr>
            <w:tcW w:w="1248" w:type="dxa"/>
          </w:tcPr>
          <w:p w14:paraId="665DB8D9" w14:textId="3D7B3EB2" w:rsidR="008414CD" w:rsidRPr="0083254F" w:rsidRDefault="0065552A" w:rsidP="00EF3F5A">
            <w:pPr>
              <w:rPr>
                <w:lang w:val="en-GB"/>
              </w:rPr>
            </w:pPr>
            <w:r>
              <w:rPr>
                <w:lang w:val="en-GB"/>
              </w:rPr>
              <w:t>36</w:t>
            </w:r>
          </w:p>
        </w:tc>
        <w:tc>
          <w:tcPr>
            <w:tcW w:w="1248" w:type="dxa"/>
          </w:tcPr>
          <w:p w14:paraId="34894A27" w14:textId="45DAC7D4" w:rsidR="008414CD" w:rsidRPr="0083254F" w:rsidRDefault="0065552A" w:rsidP="00EF3F5A">
            <w:pPr>
              <w:rPr>
                <w:lang w:val="en-GB"/>
              </w:rPr>
            </w:pPr>
            <w:r>
              <w:rPr>
                <w:lang w:val="en-GB"/>
              </w:rPr>
              <w:t>39</w:t>
            </w:r>
          </w:p>
        </w:tc>
        <w:tc>
          <w:tcPr>
            <w:tcW w:w="1248" w:type="dxa"/>
          </w:tcPr>
          <w:p w14:paraId="11EE9489" w14:textId="2E3CA63C" w:rsidR="008414CD" w:rsidRPr="0083254F" w:rsidRDefault="0065552A" w:rsidP="00EF3F5A">
            <w:pPr>
              <w:rPr>
                <w:lang w:val="en-GB"/>
              </w:rPr>
            </w:pPr>
            <w:r>
              <w:rPr>
                <w:lang w:val="en-GB"/>
              </w:rPr>
              <w:t>42</w:t>
            </w:r>
          </w:p>
        </w:tc>
      </w:tr>
      <w:tr w:rsidR="008414CD" w:rsidRPr="0083254F" w14:paraId="42144734" w14:textId="77777777" w:rsidTr="00EF3F5A">
        <w:tc>
          <w:tcPr>
            <w:tcW w:w="532" w:type="dxa"/>
            <w:vMerge/>
          </w:tcPr>
          <w:p w14:paraId="08D721AF" w14:textId="77777777" w:rsidR="008414CD" w:rsidRPr="0083254F" w:rsidRDefault="008414CD" w:rsidP="00EF3F5A">
            <w:pPr>
              <w:rPr>
                <w:lang w:val="en-GB"/>
              </w:rPr>
            </w:pPr>
          </w:p>
        </w:tc>
        <w:tc>
          <w:tcPr>
            <w:tcW w:w="12418" w:type="dxa"/>
            <w:gridSpan w:val="6"/>
            <w:shd w:val="clear" w:color="auto" w:fill="D0CECE" w:themeFill="background2" w:themeFillShade="E6"/>
          </w:tcPr>
          <w:p w14:paraId="4033E10F" w14:textId="77777777" w:rsidR="008414CD" w:rsidRPr="0083254F" w:rsidRDefault="008414CD" w:rsidP="00EF3F5A">
            <w:pPr>
              <w:rPr>
                <w:lang w:val="en-GB"/>
              </w:rPr>
            </w:pPr>
            <w:r w:rsidRPr="0083254F">
              <w:rPr>
                <w:b/>
                <w:lang w:val="en-GB"/>
              </w:rPr>
              <w:t>Related UNCDF IRRM 2014-2017 indicator:</w:t>
            </w:r>
            <w:r w:rsidRPr="0083254F">
              <w:rPr>
                <w:lang w:val="en-GB"/>
              </w:rPr>
              <w:t xml:space="preserve"> Institutional Effectiveness indicators 1.7.2</w:t>
            </w:r>
          </w:p>
          <w:p w14:paraId="214DD5EA" w14:textId="77777777" w:rsidR="008414CD" w:rsidRPr="0083254F" w:rsidRDefault="008414CD" w:rsidP="00EF3F5A">
            <w:pPr>
              <w:rPr>
                <w:lang w:val="en-GB"/>
              </w:rPr>
            </w:pPr>
            <w:r w:rsidRPr="0083254F">
              <w:rPr>
                <w:b/>
                <w:lang w:val="en-GB"/>
              </w:rPr>
              <w:t>Data source:</w:t>
            </w:r>
            <w:r w:rsidRPr="0083254F">
              <w:rPr>
                <w:lang w:val="en-GB"/>
              </w:rPr>
              <w:t xml:space="preserve"> HQ Partnership, Policy and Communication unit</w:t>
            </w:r>
          </w:p>
        </w:tc>
      </w:tr>
      <w:tr w:rsidR="008414CD" w:rsidRPr="0083254F" w14:paraId="5BBEE86E" w14:textId="77777777" w:rsidTr="00EF3F5A">
        <w:tc>
          <w:tcPr>
            <w:tcW w:w="532" w:type="dxa"/>
            <w:vMerge w:val="restart"/>
          </w:tcPr>
          <w:p w14:paraId="1EFC5D86" w14:textId="77777777" w:rsidR="008414CD" w:rsidRPr="0083254F" w:rsidRDefault="008414CD" w:rsidP="00EF3F5A">
            <w:pPr>
              <w:rPr>
                <w:lang w:val="en-GB"/>
              </w:rPr>
            </w:pPr>
            <w:r w:rsidRPr="0083254F">
              <w:rPr>
                <w:lang w:val="en-GB"/>
              </w:rPr>
              <w:t>IE</w:t>
            </w:r>
            <w:r>
              <w:rPr>
                <w:lang w:val="en-GB"/>
              </w:rPr>
              <w:t>2</w:t>
            </w:r>
            <w:r w:rsidRPr="0083254F">
              <w:rPr>
                <w:lang w:val="en-GB"/>
              </w:rPr>
              <w:t>.3</w:t>
            </w:r>
          </w:p>
        </w:tc>
        <w:tc>
          <w:tcPr>
            <w:tcW w:w="6177" w:type="dxa"/>
          </w:tcPr>
          <w:p w14:paraId="529CAA08" w14:textId="0C0DA713" w:rsidR="008414CD" w:rsidRPr="0083254F" w:rsidRDefault="00FC33CD" w:rsidP="00EF3F5A">
            <w:pPr>
              <w:rPr>
                <w:lang w:val="en-GB"/>
              </w:rPr>
            </w:pPr>
            <w:r>
              <w:rPr>
                <w:lang w:val="en-GB"/>
              </w:rPr>
              <w:t>Percentage</w:t>
            </w:r>
            <w:r w:rsidR="00541502">
              <w:rPr>
                <w:lang w:val="en-GB"/>
              </w:rPr>
              <w:t xml:space="preserve"> share</w:t>
            </w:r>
            <w:r>
              <w:rPr>
                <w:lang w:val="en-GB"/>
              </w:rPr>
              <w:t xml:space="preserve"> of </w:t>
            </w:r>
            <w:r w:rsidR="00541502">
              <w:rPr>
                <w:lang w:val="en-GB"/>
              </w:rPr>
              <w:t xml:space="preserve">expenditures from </w:t>
            </w:r>
            <w:r w:rsidR="008414CD" w:rsidRPr="0083254F">
              <w:rPr>
                <w:lang w:val="en-GB"/>
              </w:rPr>
              <w:t xml:space="preserve">UN joint programmes </w:t>
            </w:r>
          </w:p>
        </w:tc>
        <w:tc>
          <w:tcPr>
            <w:tcW w:w="1249" w:type="dxa"/>
          </w:tcPr>
          <w:p w14:paraId="5F33D244" w14:textId="23BD7FB1" w:rsidR="008414CD" w:rsidRPr="0083254F" w:rsidRDefault="0065552A" w:rsidP="00EF3F5A">
            <w:pPr>
              <w:rPr>
                <w:lang w:val="en-GB"/>
              </w:rPr>
            </w:pPr>
            <w:r>
              <w:rPr>
                <w:lang w:val="en-GB"/>
              </w:rPr>
              <w:t>37%</w:t>
            </w:r>
          </w:p>
        </w:tc>
        <w:tc>
          <w:tcPr>
            <w:tcW w:w="1248" w:type="dxa"/>
          </w:tcPr>
          <w:p w14:paraId="621660FA" w14:textId="760F5515" w:rsidR="008414CD" w:rsidRPr="0083254F" w:rsidRDefault="0065552A" w:rsidP="00EF3F5A">
            <w:pPr>
              <w:rPr>
                <w:lang w:val="en-GB"/>
              </w:rPr>
            </w:pPr>
            <w:r>
              <w:rPr>
                <w:lang w:val="en-GB"/>
              </w:rPr>
              <w:t>35%</w:t>
            </w:r>
          </w:p>
        </w:tc>
        <w:tc>
          <w:tcPr>
            <w:tcW w:w="1248" w:type="dxa"/>
          </w:tcPr>
          <w:p w14:paraId="0F9354B4" w14:textId="43F34CA5" w:rsidR="008414CD" w:rsidRPr="0083254F" w:rsidRDefault="0065552A" w:rsidP="00EF3F5A">
            <w:pPr>
              <w:rPr>
                <w:lang w:val="en-GB"/>
              </w:rPr>
            </w:pPr>
            <w:r>
              <w:rPr>
                <w:lang w:val="en-GB"/>
              </w:rPr>
              <w:t>35%</w:t>
            </w:r>
          </w:p>
        </w:tc>
        <w:tc>
          <w:tcPr>
            <w:tcW w:w="1248" w:type="dxa"/>
          </w:tcPr>
          <w:p w14:paraId="222536DD" w14:textId="05F42259" w:rsidR="008414CD" w:rsidRPr="0083254F" w:rsidRDefault="0065552A" w:rsidP="00EF3F5A">
            <w:pPr>
              <w:rPr>
                <w:lang w:val="en-GB"/>
              </w:rPr>
            </w:pPr>
            <w:r>
              <w:rPr>
                <w:lang w:val="en-GB"/>
              </w:rPr>
              <w:t>35%</w:t>
            </w:r>
          </w:p>
        </w:tc>
        <w:tc>
          <w:tcPr>
            <w:tcW w:w="1248" w:type="dxa"/>
          </w:tcPr>
          <w:p w14:paraId="08B67BFA" w14:textId="07EC0E71" w:rsidR="008414CD" w:rsidRPr="0083254F" w:rsidRDefault="0065552A" w:rsidP="00EF3F5A">
            <w:pPr>
              <w:rPr>
                <w:lang w:val="en-GB"/>
              </w:rPr>
            </w:pPr>
            <w:r>
              <w:rPr>
                <w:lang w:val="en-GB"/>
              </w:rPr>
              <w:t>35%</w:t>
            </w:r>
          </w:p>
        </w:tc>
      </w:tr>
      <w:tr w:rsidR="008414CD" w:rsidRPr="0083254F" w14:paraId="7AFB3A47" w14:textId="77777777" w:rsidTr="00EF3F5A">
        <w:tc>
          <w:tcPr>
            <w:tcW w:w="532" w:type="dxa"/>
            <w:vMerge/>
          </w:tcPr>
          <w:p w14:paraId="45E7B028" w14:textId="77777777" w:rsidR="008414CD" w:rsidRPr="0083254F" w:rsidRDefault="008414CD" w:rsidP="00EF3F5A">
            <w:pPr>
              <w:rPr>
                <w:lang w:val="en-GB"/>
              </w:rPr>
            </w:pPr>
          </w:p>
        </w:tc>
        <w:tc>
          <w:tcPr>
            <w:tcW w:w="12418" w:type="dxa"/>
            <w:gridSpan w:val="6"/>
            <w:shd w:val="clear" w:color="auto" w:fill="D0CECE" w:themeFill="background2" w:themeFillShade="E6"/>
          </w:tcPr>
          <w:p w14:paraId="645DD375" w14:textId="77777777" w:rsidR="008414CD" w:rsidRPr="0083254F" w:rsidRDefault="008414CD" w:rsidP="00EF3F5A">
            <w:pPr>
              <w:rPr>
                <w:lang w:val="en-GB"/>
              </w:rPr>
            </w:pPr>
            <w:r w:rsidRPr="0083254F">
              <w:rPr>
                <w:b/>
                <w:lang w:val="en-GB"/>
              </w:rPr>
              <w:t>Related UNCDF IRRM 2014-2017 indicator:</w:t>
            </w:r>
            <w:r w:rsidRPr="0083254F">
              <w:rPr>
                <w:lang w:val="en-GB"/>
              </w:rPr>
              <w:t xml:space="preserve"> New</w:t>
            </w:r>
          </w:p>
          <w:p w14:paraId="7E86230A" w14:textId="77777777" w:rsidR="008414CD" w:rsidRPr="0083254F" w:rsidRDefault="008414CD" w:rsidP="00EF3F5A">
            <w:pPr>
              <w:rPr>
                <w:lang w:val="en-GB"/>
              </w:rPr>
            </w:pPr>
            <w:r w:rsidRPr="0083254F">
              <w:rPr>
                <w:b/>
                <w:lang w:val="en-GB"/>
              </w:rPr>
              <w:t>Data source:</w:t>
            </w:r>
            <w:r w:rsidRPr="0083254F">
              <w:rPr>
                <w:lang w:val="en-GB"/>
              </w:rPr>
              <w:t xml:space="preserve"> HQ Partnership, Policy and Communication unit</w:t>
            </w:r>
          </w:p>
        </w:tc>
      </w:tr>
    </w:tbl>
    <w:p w14:paraId="17FB13F0" w14:textId="77777777" w:rsidR="002A33DD" w:rsidRDefault="002A33DD" w:rsidP="00D70690">
      <w:pPr>
        <w:spacing w:after="0" w:line="240" w:lineRule="auto"/>
        <w:rPr>
          <w:lang w:val="en-GB"/>
        </w:rPr>
      </w:pPr>
    </w:p>
    <w:tbl>
      <w:tblPr>
        <w:tblStyle w:val="TableGrid"/>
        <w:tblW w:w="12950" w:type="dxa"/>
        <w:tblCellMar>
          <w:left w:w="43" w:type="dxa"/>
          <w:right w:w="43" w:type="dxa"/>
        </w:tblCellMar>
        <w:tblLook w:val="04A0" w:firstRow="1" w:lastRow="0" w:firstColumn="1" w:lastColumn="0" w:noHBand="0" w:noVBand="1"/>
      </w:tblPr>
      <w:tblGrid>
        <w:gridCol w:w="639"/>
        <w:gridCol w:w="6188"/>
        <w:gridCol w:w="1231"/>
        <w:gridCol w:w="1223"/>
        <w:gridCol w:w="1223"/>
        <w:gridCol w:w="1223"/>
        <w:gridCol w:w="1223"/>
      </w:tblGrid>
      <w:tr w:rsidR="002A33DD" w:rsidRPr="0083254F" w14:paraId="127E20D7" w14:textId="77777777" w:rsidTr="0021725E">
        <w:trPr>
          <w:trHeight w:val="350"/>
        </w:trPr>
        <w:tc>
          <w:tcPr>
            <w:tcW w:w="12950" w:type="dxa"/>
            <w:gridSpan w:val="7"/>
            <w:shd w:val="clear" w:color="auto" w:fill="9CC2E5" w:themeFill="accent5" w:themeFillTint="99"/>
            <w:vAlign w:val="center"/>
          </w:tcPr>
          <w:p w14:paraId="16388CCC" w14:textId="77777777" w:rsidR="002A33DD" w:rsidRPr="0083254F" w:rsidRDefault="002A33DD" w:rsidP="00AF42EE">
            <w:pPr>
              <w:rPr>
                <w:b/>
                <w:color w:val="FFFF00"/>
                <w:sz w:val="24"/>
                <w:szCs w:val="24"/>
                <w:lang w:val="en-GB"/>
              </w:rPr>
            </w:pPr>
            <w:r w:rsidRPr="0083254F">
              <w:rPr>
                <w:b/>
                <w:sz w:val="24"/>
                <w:szCs w:val="24"/>
                <w:lang w:val="en-GB"/>
              </w:rPr>
              <w:t xml:space="preserve">Institutional </w:t>
            </w:r>
            <w:r w:rsidR="00F3701B">
              <w:rPr>
                <w:b/>
                <w:sz w:val="24"/>
                <w:szCs w:val="24"/>
                <w:lang w:val="en-GB"/>
              </w:rPr>
              <w:t>Effectiveness</w:t>
            </w:r>
            <w:r w:rsidRPr="0083254F">
              <w:rPr>
                <w:b/>
                <w:sz w:val="24"/>
                <w:szCs w:val="24"/>
                <w:lang w:val="en-GB"/>
              </w:rPr>
              <w:t xml:space="preserve"> </w:t>
            </w:r>
            <w:r w:rsidR="008414CD">
              <w:rPr>
                <w:b/>
                <w:sz w:val="24"/>
                <w:szCs w:val="24"/>
                <w:lang w:val="en-GB"/>
              </w:rPr>
              <w:t>3</w:t>
            </w:r>
            <w:r w:rsidRPr="0083254F">
              <w:rPr>
                <w:b/>
                <w:sz w:val="24"/>
                <w:szCs w:val="24"/>
                <w:lang w:val="en-GB"/>
              </w:rPr>
              <w:t>: Management</w:t>
            </w:r>
          </w:p>
        </w:tc>
      </w:tr>
      <w:tr w:rsidR="002A33DD" w:rsidRPr="0083254F" w14:paraId="2D09777B" w14:textId="77777777" w:rsidTr="003F7B4D">
        <w:tc>
          <w:tcPr>
            <w:tcW w:w="6827" w:type="dxa"/>
            <w:gridSpan w:val="2"/>
            <w:shd w:val="clear" w:color="auto" w:fill="F2F2F2" w:themeFill="background1" w:themeFillShade="F2"/>
          </w:tcPr>
          <w:p w14:paraId="0BBE8A76" w14:textId="77777777" w:rsidR="002A33DD" w:rsidRPr="0083254F" w:rsidRDefault="002A33DD" w:rsidP="00AF42EE">
            <w:pPr>
              <w:rPr>
                <w:b/>
                <w:lang w:val="en-GB"/>
              </w:rPr>
            </w:pPr>
            <w:r>
              <w:rPr>
                <w:b/>
                <w:lang w:val="en-GB"/>
              </w:rPr>
              <w:t xml:space="preserve">Institutional Effectiveness </w:t>
            </w:r>
            <w:r w:rsidRPr="0083254F">
              <w:rPr>
                <w:b/>
                <w:lang w:val="en-GB"/>
              </w:rPr>
              <w:t>indicators</w:t>
            </w:r>
          </w:p>
        </w:tc>
        <w:tc>
          <w:tcPr>
            <w:tcW w:w="1231" w:type="dxa"/>
            <w:shd w:val="clear" w:color="auto" w:fill="F2F2F2" w:themeFill="background1" w:themeFillShade="F2"/>
          </w:tcPr>
          <w:p w14:paraId="27D286BE" w14:textId="77777777" w:rsidR="002A33DD" w:rsidRPr="0083254F" w:rsidRDefault="002A33DD" w:rsidP="00AF42EE">
            <w:pPr>
              <w:jc w:val="center"/>
              <w:rPr>
                <w:b/>
                <w:lang w:val="en-GB"/>
              </w:rPr>
            </w:pPr>
            <w:r w:rsidRPr="0083254F">
              <w:rPr>
                <w:b/>
                <w:lang w:val="en-GB"/>
              </w:rPr>
              <w:t>Baseline</w:t>
            </w:r>
          </w:p>
        </w:tc>
        <w:tc>
          <w:tcPr>
            <w:tcW w:w="1223" w:type="dxa"/>
            <w:shd w:val="clear" w:color="auto" w:fill="F2F2F2" w:themeFill="background1" w:themeFillShade="F2"/>
          </w:tcPr>
          <w:p w14:paraId="5287F180" w14:textId="77777777" w:rsidR="002A33DD" w:rsidRPr="0083254F" w:rsidRDefault="002A33DD" w:rsidP="00AF42EE">
            <w:pPr>
              <w:jc w:val="center"/>
              <w:rPr>
                <w:b/>
                <w:lang w:val="en-GB"/>
              </w:rPr>
            </w:pPr>
            <w:r w:rsidRPr="0083254F">
              <w:rPr>
                <w:b/>
                <w:lang w:val="en-GB"/>
              </w:rPr>
              <w:t>2018 Target</w:t>
            </w:r>
          </w:p>
        </w:tc>
        <w:tc>
          <w:tcPr>
            <w:tcW w:w="1223" w:type="dxa"/>
            <w:shd w:val="clear" w:color="auto" w:fill="F2F2F2" w:themeFill="background1" w:themeFillShade="F2"/>
          </w:tcPr>
          <w:p w14:paraId="4448AA78" w14:textId="77777777" w:rsidR="002A33DD" w:rsidRPr="0083254F" w:rsidRDefault="002A33DD" w:rsidP="00AF42EE">
            <w:pPr>
              <w:jc w:val="center"/>
              <w:rPr>
                <w:b/>
                <w:lang w:val="en-GB"/>
              </w:rPr>
            </w:pPr>
            <w:r w:rsidRPr="0083254F">
              <w:rPr>
                <w:b/>
                <w:lang w:val="en-GB"/>
              </w:rPr>
              <w:t>2019 Target</w:t>
            </w:r>
          </w:p>
        </w:tc>
        <w:tc>
          <w:tcPr>
            <w:tcW w:w="1223" w:type="dxa"/>
            <w:shd w:val="clear" w:color="auto" w:fill="F2F2F2" w:themeFill="background1" w:themeFillShade="F2"/>
          </w:tcPr>
          <w:p w14:paraId="32C097CF" w14:textId="77777777" w:rsidR="002A33DD" w:rsidRPr="0083254F" w:rsidRDefault="002A33DD" w:rsidP="00AF42EE">
            <w:pPr>
              <w:jc w:val="center"/>
              <w:rPr>
                <w:b/>
                <w:lang w:val="en-GB"/>
              </w:rPr>
            </w:pPr>
            <w:r w:rsidRPr="0083254F">
              <w:rPr>
                <w:b/>
                <w:lang w:val="en-GB"/>
              </w:rPr>
              <w:t>2020 Target</w:t>
            </w:r>
          </w:p>
        </w:tc>
        <w:tc>
          <w:tcPr>
            <w:tcW w:w="1223" w:type="dxa"/>
            <w:shd w:val="clear" w:color="auto" w:fill="F2F2F2" w:themeFill="background1" w:themeFillShade="F2"/>
          </w:tcPr>
          <w:p w14:paraId="218CAE5A" w14:textId="77777777" w:rsidR="002A33DD" w:rsidRPr="0083254F" w:rsidRDefault="002A33DD" w:rsidP="00AF42EE">
            <w:pPr>
              <w:jc w:val="center"/>
              <w:rPr>
                <w:b/>
                <w:lang w:val="en-GB"/>
              </w:rPr>
            </w:pPr>
            <w:r w:rsidRPr="0083254F">
              <w:rPr>
                <w:b/>
                <w:lang w:val="en-GB"/>
              </w:rPr>
              <w:t>2021 Target</w:t>
            </w:r>
          </w:p>
        </w:tc>
      </w:tr>
      <w:tr w:rsidR="002A33DD" w:rsidRPr="0083254F" w14:paraId="04488166" w14:textId="77777777" w:rsidTr="003F7B4D">
        <w:tc>
          <w:tcPr>
            <w:tcW w:w="639" w:type="dxa"/>
            <w:vMerge w:val="restart"/>
          </w:tcPr>
          <w:p w14:paraId="5F3979C8" w14:textId="77777777" w:rsidR="002A33DD" w:rsidRPr="0083254F" w:rsidRDefault="002A33DD" w:rsidP="00AF42EE">
            <w:pPr>
              <w:rPr>
                <w:lang w:val="en-GB"/>
              </w:rPr>
            </w:pPr>
            <w:r w:rsidRPr="0083254F">
              <w:rPr>
                <w:lang w:val="en-GB"/>
              </w:rPr>
              <w:t>IE</w:t>
            </w:r>
            <w:r w:rsidR="008414CD">
              <w:rPr>
                <w:lang w:val="en-GB"/>
              </w:rPr>
              <w:t>3</w:t>
            </w:r>
            <w:r w:rsidRPr="0083254F">
              <w:rPr>
                <w:lang w:val="en-GB"/>
              </w:rPr>
              <w:t>.1</w:t>
            </w:r>
          </w:p>
        </w:tc>
        <w:tc>
          <w:tcPr>
            <w:tcW w:w="6188" w:type="dxa"/>
          </w:tcPr>
          <w:p w14:paraId="3B01CE2A" w14:textId="02CF3A28" w:rsidR="002A33DD" w:rsidRPr="0083254F" w:rsidRDefault="002A33DD" w:rsidP="00AF42EE">
            <w:pPr>
              <w:rPr>
                <w:lang w:val="en-GB"/>
              </w:rPr>
            </w:pPr>
            <w:r w:rsidRPr="0083254F">
              <w:rPr>
                <w:lang w:val="en-GB"/>
              </w:rPr>
              <w:t xml:space="preserve">Annual number of evaluations  </w:t>
            </w:r>
          </w:p>
        </w:tc>
        <w:tc>
          <w:tcPr>
            <w:tcW w:w="1231" w:type="dxa"/>
          </w:tcPr>
          <w:p w14:paraId="4F4EF94C" w14:textId="38CD7AD9" w:rsidR="002A33DD" w:rsidRPr="0083254F" w:rsidRDefault="0065552A" w:rsidP="00AF42EE">
            <w:pPr>
              <w:rPr>
                <w:lang w:val="en-GB"/>
              </w:rPr>
            </w:pPr>
            <w:r>
              <w:rPr>
                <w:lang w:val="en-GB"/>
              </w:rPr>
              <w:t>2</w:t>
            </w:r>
          </w:p>
        </w:tc>
        <w:tc>
          <w:tcPr>
            <w:tcW w:w="1223" w:type="dxa"/>
          </w:tcPr>
          <w:p w14:paraId="23BEC2DC" w14:textId="05B4ADD1" w:rsidR="002A33DD" w:rsidRPr="0083254F" w:rsidRDefault="0065552A" w:rsidP="00AF42EE">
            <w:pPr>
              <w:rPr>
                <w:lang w:val="en-GB"/>
              </w:rPr>
            </w:pPr>
            <w:r>
              <w:rPr>
                <w:lang w:val="en-GB"/>
              </w:rPr>
              <w:t>4</w:t>
            </w:r>
          </w:p>
        </w:tc>
        <w:tc>
          <w:tcPr>
            <w:tcW w:w="1223" w:type="dxa"/>
          </w:tcPr>
          <w:p w14:paraId="68463B20" w14:textId="11B9615B" w:rsidR="002A33DD" w:rsidRPr="0083254F" w:rsidRDefault="0065552A" w:rsidP="00AF42EE">
            <w:pPr>
              <w:rPr>
                <w:lang w:val="en-GB"/>
              </w:rPr>
            </w:pPr>
            <w:r>
              <w:rPr>
                <w:lang w:val="en-GB"/>
              </w:rPr>
              <w:t>4</w:t>
            </w:r>
          </w:p>
        </w:tc>
        <w:tc>
          <w:tcPr>
            <w:tcW w:w="1223" w:type="dxa"/>
          </w:tcPr>
          <w:p w14:paraId="69572638" w14:textId="1A8A8D3B" w:rsidR="002A33DD" w:rsidRPr="0083254F" w:rsidRDefault="0065552A" w:rsidP="00AF42EE">
            <w:pPr>
              <w:rPr>
                <w:lang w:val="en-GB"/>
              </w:rPr>
            </w:pPr>
            <w:r>
              <w:rPr>
                <w:lang w:val="en-GB"/>
              </w:rPr>
              <w:t>4</w:t>
            </w:r>
          </w:p>
        </w:tc>
        <w:tc>
          <w:tcPr>
            <w:tcW w:w="1223" w:type="dxa"/>
          </w:tcPr>
          <w:p w14:paraId="4F622C40" w14:textId="0A0BC59E" w:rsidR="002A33DD" w:rsidRPr="0083254F" w:rsidRDefault="0065552A" w:rsidP="00AF42EE">
            <w:pPr>
              <w:rPr>
                <w:lang w:val="en-GB"/>
              </w:rPr>
            </w:pPr>
            <w:r>
              <w:rPr>
                <w:lang w:val="en-GB"/>
              </w:rPr>
              <w:t>4</w:t>
            </w:r>
          </w:p>
        </w:tc>
      </w:tr>
      <w:tr w:rsidR="002A33DD" w:rsidRPr="0083254F" w14:paraId="1DFD9C7A" w14:textId="77777777" w:rsidTr="003F7B4D">
        <w:tc>
          <w:tcPr>
            <w:tcW w:w="639" w:type="dxa"/>
            <w:vMerge/>
          </w:tcPr>
          <w:p w14:paraId="6C98D9FA" w14:textId="77777777" w:rsidR="002A33DD" w:rsidRPr="0083254F" w:rsidRDefault="002A33DD" w:rsidP="00AF42EE">
            <w:pPr>
              <w:rPr>
                <w:lang w:val="en-GB"/>
              </w:rPr>
            </w:pPr>
          </w:p>
        </w:tc>
        <w:tc>
          <w:tcPr>
            <w:tcW w:w="12311" w:type="dxa"/>
            <w:gridSpan w:val="6"/>
            <w:shd w:val="clear" w:color="auto" w:fill="D0CECE" w:themeFill="background2" w:themeFillShade="E6"/>
          </w:tcPr>
          <w:p w14:paraId="3EEF474D"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indicators 1.1.2</w:t>
            </w:r>
          </w:p>
          <w:p w14:paraId="7C8F3BFF" w14:textId="62F6B120" w:rsidR="002A33DD" w:rsidRPr="0083254F" w:rsidRDefault="002A33DD" w:rsidP="00AF42EE">
            <w:pPr>
              <w:rPr>
                <w:lang w:val="en-GB"/>
              </w:rPr>
            </w:pPr>
            <w:r w:rsidRPr="0083254F">
              <w:rPr>
                <w:b/>
                <w:lang w:val="en-GB"/>
              </w:rPr>
              <w:t xml:space="preserve">Data source: </w:t>
            </w:r>
            <w:r w:rsidR="00146482">
              <w:rPr>
                <w:lang w:val="en-GB"/>
              </w:rPr>
              <w:t>UNCDF Evaluation plan</w:t>
            </w:r>
          </w:p>
        </w:tc>
      </w:tr>
      <w:tr w:rsidR="002A33DD" w:rsidRPr="0083254F" w14:paraId="2FFF9DC2" w14:textId="77777777" w:rsidTr="003F7B4D">
        <w:tc>
          <w:tcPr>
            <w:tcW w:w="639" w:type="dxa"/>
            <w:vMerge w:val="restart"/>
          </w:tcPr>
          <w:p w14:paraId="2568AB18" w14:textId="4CFAA067" w:rsidR="002A33DD" w:rsidRPr="0083254F" w:rsidRDefault="007E40B8" w:rsidP="00AF42EE">
            <w:pPr>
              <w:rPr>
                <w:lang w:val="en-GB"/>
              </w:rPr>
            </w:pPr>
            <w:r>
              <w:rPr>
                <w:lang w:val="en-GB"/>
              </w:rPr>
              <w:t xml:space="preserve"> </w:t>
            </w:r>
            <w:r w:rsidR="002A33DD" w:rsidRPr="0083254F">
              <w:rPr>
                <w:lang w:val="en-GB"/>
              </w:rPr>
              <w:t>IE</w:t>
            </w:r>
            <w:r w:rsidR="008414CD">
              <w:rPr>
                <w:lang w:val="en-GB"/>
              </w:rPr>
              <w:t>3</w:t>
            </w:r>
            <w:r w:rsidR="002A33DD" w:rsidRPr="0083254F">
              <w:rPr>
                <w:lang w:val="en-GB"/>
              </w:rPr>
              <w:t>.2</w:t>
            </w:r>
          </w:p>
        </w:tc>
        <w:tc>
          <w:tcPr>
            <w:tcW w:w="6188" w:type="dxa"/>
          </w:tcPr>
          <w:p w14:paraId="3B788917" w14:textId="7277C6FF" w:rsidR="002A33DD" w:rsidRPr="0083254F" w:rsidRDefault="002A33DD" w:rsidP="00AF42EE">
            <w:pPr>
              <w:tabs>
                <w:tab w:val="left" w:pos="2278"/>
              </w:tabs>
              <w:rPr>
                <w:lang w:val="en-GB"/>
              </w:rPr>
            </w:pPr>
            <w:r w:rsidRPr="0083254F">
              <w:rPr>
                <w:lang w:val="en-GB"/>
              </w:rPr>
              <w:t xml:space="preserve">Implementation rate (%) of agreed actions </w:t>
            </w:r>
            <w:r w:rsidR="00E457C5">
              <w:rPr>
                <w:lang w:val="en-GB"/>
              </w:rPr>
              <w:t>in</w:t>
            </w:r>
            <w:r w:rsidR="00E457C5" w:rsidRPr="0083254F">
              <w:rPr>
                <w:lang w:val="en-GB"/>
              </w:rPr>
              <w:t xml:space="preserve"> </w:t>
            </w:r>
            <w:r w:rsidRPr="0083254F">
              <w:rPr>
                <w:lang w:val="en-GB"/>
              </w:rPr>
              <w:t>evaluation management response</w:t>
            </w:r>
            <w:r w:rsidR="00146482">
              <w:rPr>
                <w:lang w:val="en-GB"/>
              </w:rPr>
              <w:t>s</w:t>
            </w:r>
          </w:p>
        </w:tc>
        <w:tc>
          <w:tcPr>
            <w:tcW w:w="1231" w:type="dxa"/>
          </w:tcPr>
          <w:p w14:paraId="1A301B3D" w14:textId="07360103" w:rsidR="002A33DD" w:rsidRPr="0083254F" w:rsidRDefault="0065552A" w:rsidP="00AF42EE">
            <w:pPr>
              <w:rPr>
                <w:lang w:val="en-GB"/>
              </w:rPr>
            </w:pPr>
            <w:r>
              <w:rPr>
                <w:lang w:val="en-GB"/>
              </w:rPr>
              <w:t>80%</w:t>
            </w:r>
          </w:p>
        </w:tc>
        <w:tc>
          <w:tcPr>
            <w:tcW w:w="1223" w:type="dxa"/>
          </w:tcPr>
          <w:p w14:paraId="4291AB82" w14:textId="0333DE74" w:rsidR="002A33DD" w:rsidRPr="0083254F" w:rsidRDefault="0065552A" w:rsidP="00AF42EE">
            <w:pPr>
              <w:rPr>
                <w:lang w:val="en-GB"/>
              </w:rPr>
            </w:pPr>
            <w:r>
              <w:rPr>
                <w:lang w:val="en-GB"/>
              </w:rPr>
              <w:t>80%</w:t>
            </w:r>
          </w:p>
        </w:tc>
        <w:tc>
          <w:tcPr>
            <w:tcW w:w="1223" w:type="dxa"/>
          </w:tcPr>
          <w:p w14:paraId="696D647A" w14:textId="31F42299" w:rsidR="002A33DD" w:rsidRPr="0083254F" w:rsidRDefault="0065552A" w:rsidP="00AF42EE">
            <w:pPr>
              <w:rPr>
                <w:lang w:val="en-GB"/>
              </w:rPr>
            </w:pPr>
            <w:r>
              <w:rPr>
                <w:lang w:val="en-GB"/>
              </w:rPr>
              <w:t>80%</w:t>
            </w:r>
          </w:p>
        </w:tc>
        <w:tc>
          <w:tcPr>
            <w:tcW w:w="1223" w:type="dxa"/>
          </w:tcPr>
          <w:p w14:paraId="24B49CC0" w14:textId="1ECF5C0A" w:rsidR="002A33DD" w:rsidRPr="0083254F" w:rsidRDefault="0065552A" w:rsidP="00AF42EE">
            <w:pPr>
              <w:rPr>
                <w:lang w:val="en-GB"/>
              </w:rPr>
            </w:pPr>
            <w:r>
              <w:rPr>
                <w:lang w:val="en-GB"/>
              </w:rPr>
              <w:t>80%</w:t>
            </w:r>
          </w:p>
        </w:tc>
        <w:tc>
          <w:tcPr>
            <w:tcW w:w="1223" w:type="dxa"/>
          </w:tcPr>
          <w:p w14:paraId="3FEE31F7" w14:textId="65716835" w:rsidR="002A33DD" w:rsidRPr="0083254F" w:rsidRDefault="0065552A" w:rsidP="00AF42EE">
            <w:pPr>
              <w:rPr>
                <w:lang w:val="en-GB"/>
              </w:rPr>
            </w:pPr>
            <w:r>
              <w:rPr>
                <w:lang w:val="en-GB"/>
              </w:rPr>
              <w:t>80%</w:t>
            </w:r>
          </w:p>
        </w:tc>
      </w:tr>
      <w:tr w:rsidR="002A33DD" w:rsidRPr="0083254F" w14:paraId="0B85318A" w14:textId="77777777" w:rsidTr="003F7B4D">
        <w:tc>
          <w:tcPr>
            <w:tcW w:w="639" w:type="dxa"/>
            <w:vMerge/>
          </w:tcPr>
          <w:p w14:paraId="7C53EAD3" w14:textId="77777777" w:rsidR="002A33DD" w:rsidRPr="0083254F" w:rsidRDefault="002A33DD" w:rsidP="00AF42EE">
            <w:pPr>
              <w:rPr>
                <w:lang w:val="en-GB"/>
              </w:rPr>
            </w:pPr>
          </w:p>
        </w:tc>
        <w:tc>
          <w:tcPr>
            <w:tcW w:w="12311" w:type="dxa"/>
            <w:gridSpan w:val="6"/>
            <w:shd w:val="clear" w:color="auto" w:fill="D0CECE" w:themeFill="background2" w:themeFillShade="E6"/>
          </w:tcPr>
          <w:p w14:paraId="3A648834"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indicators 1.1.3</w:t>
            </w:r>
          </w:p>
          <w:p w14:paraId="3DCA0DEE" w14:textId="77777777" w:rsidR="002A33DD" w:rsidRPr="0083254F" w:rsidRDefault="002A33DD" w:rsidP="00AF42EE">
            <w:pPr>
              <w:rPr>
                <w:lang w:val="en-GB"/>
              </w:rPr>
            </w:pPr>
            <w:r w:rsidRPr="0083254F">
              <w:rPr>
                <w:b/>
                <w:lang w:val="en-GB"/>
              </w:rPr>
              <w:t xml:space="preserve">Data source: </w:t>
            </w:r>
            <w:r w:rsidRPr="0083254F">
              <w:rPr>
                <w:lang w:val="en-GB"/>
              </w:rPr>
              <w:t>Evaluation unit</w:t>
            </w:r>
          </w:p>
        </w:tc>
      </w:tr>
      <w:tr w:rsidR="0099634C" w:rsidRPr="0083254F" w14:paraId="4A5B5B97" w14:textId="77777777" w:rsidTr="003F7B4D">
        <w:tc>
          <w:tcPr>
            <w:tcW w:w="639" w:type="dxa"/>
            <w:vMerge w:val="restart"/>
          </w:tcPr>
          <w:p w14:paraId="0FCA38F4" w14:textId="77777777" w:rsidR="0099634C" w:rsidRPr="0083254F" w:rsidRDefault="00FA5E9F" w:rsidP="00AF42EE">
            <w:pPr>
              <w:rPr>
                <w:lang w:val="en-GB"/>
              </w:rPr>
            </w:pPr>
            <w:r>
              <w:rPr>
                <w:lang w:val="en-GB"/>
              </w:rPr>
              <w:t>IE3.3</w:t>
            </w:r>
          </w:p>
        </w:tc>
        <w:tc>
          <w:tcPr>
            <w:tcW w:w="6188" w:type="dxa"/>
          </w:tcPr>
          <w:p w14:paraId="5BF7967F" w14:textId="77777777" w:rsidR="0099634C" w:rsidRPr="0083254F" w:rsidRDefault="00827562" w:rsidP="00AF42EE">
            <w:pPr>
              <w:rPr>
                <w:lang w:val="en-GB"/>
              </w:rPr>
            </w:pPr>
            <w:r>
              <w:rPr>
                <w:lang w:val="en-GB"/>
              </w:rPr>
              <w:t xml:space="preserve">Percentage of </w:t>
            </w:r>
            <w:r w:rsidR="0099634C">
              <w:rPr>
                <w:lang w:val="en-GB"/>
              </w:rPr>
              <w:t xml:space="preserve">UNCDF evaluations </w:t>
            </w:r>
            <w:r>
              <w:rPr>
                <w:lang w:val="en-GB"/>
              </w:rPr>
              <w:t>assessed</w:t>
            </w:r>
            <w:r w:rsidR="0099634C">
              <w:rPr>
                <w:lang w:val="en-GB"/>
              </w:rPr>
              <w:t xml:space="preserve"> by UNDP Independent </w:t>
            </w:r>
            <w:r w:rsidR="0099634C">
              <w:rPr>
                <w:lang w:val="en-GB"/>
              </w:rPr>
              <w:lastRenderedPageBreak/>
              <w:t>Evaluation Office’s external quality assessment</w:t>
            </w:r>
            <w:r>
              <w:rPr>
                <w:lang w:val="en-GB"/>
              </w:rPr>
              <w:t xml:space="preserve"> which are rated satisfactory or above </w:t>
            </w:r>
          </w:p>
        </w:tc>
        <w:tc>
          <w:tcPr>
            <w:tcW w:w="1231" w:type="dxa"/>
          </w:tcPr>
          <w:p w14:paraId="44556645" w14:textId="4F747B61" w:rsidR="0099634C" w:rsidRPr="0083254F" w:rsidRDefault="0065552A" w:rsidP="00AF42EE">
            <w:pPr>
              <w:rPr>
                <w:lang w:val="en-GB"/>
              </w:rPr>
            </w:pPr>
            <w:r>
              <w:rPr>
                <w:lang w:val="en-GB"/>
              </w:rPr>
              <w:lastRenderedPageBreak/>
              <w:t>80% (2017)</w:t>
            </w:r>
          </w:p>
        </w:tc>
        <w:tc>
          <w:tcPr>
            <w:tcW w:w="1223" w:type="dxa"/>
          </w:tcPr>
          <w:p w14:paraId="1B4140A2" w14:textId="57C2B2C6" w:rsidR="0099634C" w:rsidRPr="0083254F" w:rsidRDefault="0065552A" w:rsidP="00AF42EE">
            <w:pPr>
              <w:rPr>
                <w:lang w:val="en-GB"/>
              </w:rPr>
            </w:pPr>
            <w:r>
              <w:rPr>
                <w:lang w:val="en-GB"/>
              </w:rPr>
              <w:t>80%</w:t>
            </w:r>
          </w:p>
        </w:tc>
        <w:tc>
          <w:tcPr>
            <w:tcW w:w="1223" w:type="dxa"/>
          </w:tcPr>
          <w:p w14:paraId="315938FB" w14:textId="4CB0702E" w:rsidR="0099634C" w:rsidRPr="0083254F" w:rsidRDefault="0065552A" w:rsidP="00AF42EE">
            <w:pPr>
              <w:rPr>
                <w:lang w:val="en-GB"/>
              </w:rPr>
            </w:pPr>
            <w:r>
              <w:rPr>
                <w:lang w:val="en-GB"/>
              </w:rPr>
              <w:t>80%</w:t>
            </w:r>
          </w:p>
        </w:tc>
        <w:tc>
          <w:tcPr>
            <w:tcW w:w="1223" w:type="dxa"/>
          </w:tcPr>
          <w:p w14:paraId="46EBBC84" w14:textId="48B90803" w:rsidR="0099634C" w:rsidRPr="0083254F" w:rsidRDefault="0065552A" w:rsidP="00AF42EE">
            <w:pPr>
              <w:rPr>
                <w:lang w:val="en-GB"/>
              </w:rPr>
            </w:pPr>
            <w:r>
              <w:rPr>
                <w:lang w:val="en-GB"/>
              </w:rPr>
              <w:t>80%</w:t>
            </w:r>
          </w:p>
        </w:tc>
        <w:tc>
          <w:tcPr>
            <w:tcW w:w="1223" w:type="dxa"/>
          </w:tcPr>
          <w:p w14:paraId="5CABEACB" w14:textId="4CC0FB7F" w:rsidR="0099634C" w:rsidRPr="0083254F" w:rsidRDefault="0065552A" w:rsidP="00AF42EE">
            <w:pPr>
              <w:rPr>
                <w:lang w:val="en-GB"/>
              </w:rPr>
            </w:pPr>
            <w:r>
              <w:rPr>
                <w:lang w:val="en-GB"/>
              </w:rPr>
              <w:t>80%</w:t>
            </w:r>
          </w:p>
        </w:tc>
      </w:tr>
      <w:tr w:rsidR="0099634C" w:rsidRPr="0083254F" w14:paraId="4627B9C1" w14:textId="77777777" w:rsidTr="003F7B4D">
        <w:tc>
          <w:tcPr>
            <w:tcW w:w="639" w:type="dxa"/>
            <w:vMerge/>
          </w:tcPr>
          <w:p w14:paraId="2DD594A3" w14:textId="77777777" w:rsidR="0099634C" w:rsidRPr="0083254F" w:rsidRDefault="0099634C" w:rsidP="00AF42EE">
            <w:pPr>
              <w:rPr>
                <w:lang w:val="en-GB"/>
              </w:rPr>
            </w:pPr>
          </w:p>
        </w:tc>
        <w:tc>
          <w:tcPr>
            <w:tcW w:w="12311" w:type="dxa"/>
            <w:gridSpan w:val="6"/>
            <w:shd w:val="clear" w:color="auto" w:fill="D0CECE" w:themeFill="background2" w:themeFillShade="E6"/>
          </w:tcPr>
          <w:p w14:paraId="75B3F074" w14:textId="77777777" w:rsidR="00C83A79" w:rsidRPr="00C83A79" w:rsidRDefault="00C83A79" w:rsidP="00C83A79">
            <w:pPr>
              <w:rPr>
                <w:lang w:val="en-GB"/>
              </w:rPr>
            </w:pPr>
            <w:r w:rsidRPr="003F7B4D">
              <w:rPr>
                <w:b/>
                <w:lang w:val="en-GB"/>
              </w:rPr>
              <w:t>Related UNCDF IRRM 2014-2017 indicator</w:t>
            </w:r>
            <w:r w:rsidRPr="00C83A79">
              <w:rPr>
                <w:lang w:val="en-GB"/>
              </w:rPr>
              <w:t xml:space="preserve">: </w:t>
            </w:r>
            <w:r>
              <w:rPr>
                <w:lang w:val="en-GB"/>
              </w:rPr>
              <w:t>New</w:t>
            </w:r>
          </w:p>
          <w:p w14:paraId="131C77AC" w14:textId="77777777" w:rsidR="0099634C" w:rsidRPr="0083254F" w:rsidRDefault="00C83A79" w:rsidP="00C83A79">
            <w:pPr>
              <w:rPr>
                <w:lang w:val="en-GB"/>
              </w:rPr>
            </w:pPr>
            <w:r w:rsidRPr="003F7B4D">
              <w:rPr>
                <w:b/>
                <w:lang w:val="en-GB"/>
              </w:rPr>
              <w:t>Data source:</w:t>
            </w:r>
            <w:r w:rsidRPr="00C83A79">
              <w:rPr>
                <w:lang w:val="en-GB"/>
              </w:rPr>
              <w:t xml:space="preserve"> Evaluation unit</w:t>
            </w:r>
            <w:r w:rsidR="00827562">
              <w:rPr>
                <w:lang w:val="en-GB"/>
              </w:rPr>
              <w:t>, UNDP IEO quality assessment report</w:t>
            </w:r>
          </w:p>
        </w:tc>
      </w:tr>
      <w:tr w:rsidR="002A33DD" w:rsidRPr="0083254F" w14:paraId="20DE98D9" w14:textId="77777777" w:rsidTr="003F7B4D">
        <w:tc>
          <w:tcPr>
            <w:tcW w:w="639" w:type="dxa"/>
            <w:vMerge w:val="restart"/>
          </w:tcPr>
          <w:p w14:paraId="7D0E0AC2" w14:textId="5A40D466" w:rsidR="002A33DD" w:rsidRPr="0083254F" w:rsidRDefault="002A33DD" w:rsidP="00AF42EE">
            <w:pPr>
              <w:rPr>
                <w:lang w:val="en-GB"/>
              </w:rPr>
            </w:pPr>
            <w:r w:rsidRPr="0083254F">
              <w:rPr>
                <w:lang w:val="en-GB"/>
              </w:rPr>
              <w:t>IE</w:t>
            </w:r>
            <w:r w:rsidR="008414CD">
              <w:rPr>
                <w:lang w:val="en-GB"/>
              </w:rPr>
              <w:t>3</w:t>
            </w:r>
            <w:r w:rsidRPr="0083254F">
              <w:rPr>
                <w:lang w:val="en-GB"/>
              </w:rPr>
              <w:t>.</w:t>
            </w:r>
            <w:r w:rsidR="00F06B13">
              <w:rPr>
                <w:lang w:val="en-GB"/>
              </w:rPr>
              <w:t>4</w:t>
            </w:r>
          </w:p>
        </w:tc>
        <w:tc>
          <w:tcPr>
            <w:tcW w:w="6188" w:type="dxa"/>
          </w:tcPr>
          <w:p w14:paraId="1EBFB907" w14:textId="77777777" w:rsidR="002A33DD" w:rsidRPr="0083254F" w:rsidRDefault="002A33DD" w:rsidP="00AF42EE">
            <w:pPr>
              <w:rPr>
                <w:lang w:val="en-GB"/>
              </w:rPr>
            </w:pPr>
            <w:r w:rsidRPr="0083254F">
              <w:rPr>
                <w:lang w:val="en-GB"/>
              </w:rPr>
              <w:t>Percentage of UNCDF programmes annually covered by the audit of Office and Audit Investigation (OAI)</w:t>
            </w:r>
          </w:p>
        </w:tc>
        <w:tc>
          <w:tcPr>
            <w:tcW w:w="1231" w:type="dxa"/>
          </w:tcPr>
          <w:p w14:paraId="3C2A0175" w14:textId="16E061B1" w:rsidR="002A33DD" w:rsidRPr="0083254F" w:rsidRDefault="0065552A" w:rsidP="00AF42EE">
            <w:pPr>
              <w:rPr>
                <w:lang w:val="en-GB"/>
              </w:rPr>
            </w:pPr>
            <w:r>
              <w:rPr>
                <w:lang w:val="en-GB"/>
              </w:rPr>
              <w:t>46%</w:t>
            </w:r>
          </w:p>
        </w:tc>
        <w:tc>
          <w:tcPr>
            <w:tcW w:w="1223" w:type="dxa"/>
          </w:tcPr>
          <w:p w14:paraId="3286BD05" w14:textId="45F30874" w:rsidR="002A33DD" w:rsidRPr="0083254F" w:rsidRDefault="0065552A" w:rsidP="00AF42EE">
            <w:pPr>
              <w:rPr>
                <w:lang w:val="en-GB"/>
              </w:rPr>
            </w:pPr>
            <w:r>
              <w:rPr>
                <w:lang w:val="en-GB"/>
              </w:rPr>
              <w:t>40%</w:t>
            </w:r>
          </w:p>
        </w:tc>
        <w:tc>
          <w:tcPr>
            <w:tcW w:w="1223" w:type="dxa"/>
          </w:tcPr>
          <w:p w14:paraId="760E48A6" w14:textId="65FDBC33" w:rsidR="002A33DD" w:rsidRPr="0083254F" w:rsidRDefault="0065552A" w:rsidP="00AF42EE">
            <w:pPr>
              <w:rPr>
                <w:lang w:val="en-GB"/>
              </w:rPr>
            </w:pPr>
            <w:r>
              <w:rPr>
                <w:lang w:val="en-GB"/>
              </w:rPr>
              <w:t>40%</w:t>
            </w:r>
          </w:p>
        </w:tc>
        <w:tc>
          <w:tcPr>
            <w:tcW w:w="1223" w:type="dxa"/>
          </w:tcPr>
          <w:p w14:paraId="1D05EE5C" w14:textId="3F5BB0EF" w:rsidR="002A33DD" w:rsidRPr="0083254F" w:rsidRDefault="0065552A" w:rsidP="00AF42EE">
            <w:pPr>
              <w:rPr>
                <w:lang w:val="en-GB"/>
              </w:rPr>
            </w:pPr>
            <w:r>
              <w:rPr>
                <w:lang w:val="en-GB"/>
              </w:rPr>
              <w:t>40%</w:t>
            </w:r>
          </w:p>
        </w:tc>
        <w:tc>
          <w:tcPr>
            <w:tcW w:w="1223" w:type="dxa"/>
          </w:tcPr>
          <w:p w14:paraId="07960230" w14:textId="3CE56E5F" w:rsidR="002A33DD" w:rsidRPr="0083254F" w:rsidRDefault="0065552A" w:rsidP="00AF42EE">
            <w:pPr>
              <w:rPr>
                <w:lang w:val="en-GB"/>
              </w:rPr>
            </w:pPr>
            <w:r>
              <w:rPr>
                <w:lang w:val="en-GB"/>
              </w:rPr>
              <w:t>40%</w:t>
            </w:r>
          </w:p>
        </w:tc>
      </w:tr>
      <w:tr w:rsidR="002A33DD" w:rsidRPr="0083254F" w14:paraId="31600CD9" w14:textId="77777777" w:rsidTr="003F7B4D">
        <w:tc>
          <w:tcPr>
            <w:tcW w:w="639" w:type="dxa"/>
            <w:vMerge/>
          </w:tcPr>
          <w:p w14:paraId="169A7328" w14:textId="77777777" w:rsidR="002A33DD" w:rsidRPr="0083254F" w:rsidRDefault="002A33DD" w:rsidP="00AF42EE">
            <w:pPr>
              <w:rPr>
                <w:lang w:val="en-GB"/>
              </w:rPr>
            </w:pPr>
          </w:p>
        </w:tc>
        <w:tc>
          <w:tcPr>
            <w:tcW w:w="12311" w:type="dxa"/>
            <w:gridSpan w:val="6"/>
            <w:shd w:val="clear" w:color="auto" w:fill="D0CECE" w:themeFill="background2" w:themeFillShade="E6"/>
          </w:tcPr>
          <w:p w14:paraId="3E409375"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Amended from Institutional Effectiveness indicator 1.1.4</w:t>
            </w:r>
          </w:p>
          <w:p w14:paraId="4E65C5BF" w14:textId="77777777" w:rsidR="002A33DD" w:rsidRPr="0083254F" w:rsidRDefault="002A33DD" w:rsidP="00AF42EE">
            <w:pPr>
              <w:rPr>
                <w:lang w:val="en-GB"/>
              </w:rPr>
            </w:pPr>
            <w:r w:rsidRPr="0083254F">
              <w:rPr>
                <w:b/>
                <w:lang w:val="en-GB"/>
              </w:rPr>
              <w:t>Data source:</w:t>
            </w:r>
            <w:r w:rsidRPr="0083254F">
              <w:rPr>
                <w:lang w:val="en-GB"/>
              </w:rPr>
              <w:t xml:space="preserve"> HQ Management Support unit </w:t>
            </w:r>
          </w:p>
        </w:tc>
      </w:tr>
      <w:tr w:rsidR="002A33DD" w:rsidRPr="0083254F" w14:paraId="73882E3A" w14:textId="77777777" w:rsidTr="003F7B4D">
        <w:tc>
          <w:tcPr>
            <w:tcW w:w="639" w:type="dxa"/>
            <w:vMerge w:val="restart"/>
          </w:tcPr>
          <w:p w14:paraId="4CD9C037" w14:textId="04212CD1" w:rsidR="002A33DD" w:rsidRPr="0083254F" w:rsidRDefault="002A33DD" w:rsidP="00AF42EE">
            <w:pPr>
              <w:rPr>
                <w:lang w:val="en-GB"/>
              </w:rPr>
            </w:pPr>
            <w:r w:rsidRPr="0083254F">
              <w:rPr>
                <w:lang w:val="en-GB"/>
              </w:rPr>
              <w:t>IE</w:t>
            </w:r>
            <w:r w:rsidR="008414CD">
              <w:rPr>
                <w:lang w:val="en-GB"/>
              </w:rPr>
              <w:t>3</w:t>
            </w:r>
            <w:r w:rsidRPr="0083254F">
              <w:rPr>
                <w:lang w:val="en-GB"/>
              </w:rPr>
              <w:t>.</w:t>
            </w:r>
            <w:r w:rsidR="00F06B13">
              <w:rPr>
                <w:lang w:val="en-GB"/>
              </w:rPr>
              <w:t>5</w:t>
            </w:r>
          </w:p>
        </w:tc>
        <w:tc>
          <w:tcPr>
            <w:tcW w:w="6188" w:type="dxa"/>
          </w:tcPr>
          <w:p w14:paraId="58AFE096" w14:textId="77777777" w:rsidR="002A33DD" w:rsidRPr="0083254F" w:rsidRDefault="002A33DD" w:rsidP="00AF42EE">
            <w:pPr>
              <w:rPr>
                <w:highlight w:val="cyan"/>
                <w:lang w:val="en-GB"/>
              </w:rPr>
            </w:pPr>
            <w:r w:rsidRPr="0083254F">
              <w:rPr>
                <w:lang w:val="en-GB"/>
              </w:rPr>
              <w:t>Percentage of audits that are unqualified</w:t>
            </w:r>
          </w:p>
        </w:tc>
        <w:tc>
          <w:tcPr>
            <w:tcW w:w="1231" w:type="dxa"/>
          </w:tcPr>
          <w:p w14:paraId="6E47B5D4" w14:textId="6AA8EC6D" w:rsidR="002A33DD" w:rsidRPr="0083254F" w:rsidRDefault="0065552A" w:rsidP="00AF42EE">
            <w:pPr>
              <w:rPr>
                <w:lang w:val="en-GB"/>
              </w:rPr>
            </w:pPr>
            <w:r>
              <w:rPr>
                <w:lang w:val="en-GB"/>
              </w:rPr>
              <w:t>100%</w:t>
            </w:r>
          </w:p>
        </w:tc>
        <w:tc>
          <w:tcPr>
            <w:tcW w:w="1223" w:type="dxa"/>
          </w:tcPr>
          <w:p w14:paraId="50176FF7" w14:textId="1679EB40" w:rsidR="002A33DD" w:rsidRPr="0083254F" w:rsidRDefault="0065552A" w:rsidP="00AF42EE">
            <w:pPr>
              <w:rPr>
                <w:lang w:val="en-GB"/>
              </w:rPr>
            </w:pPr>
            <w:r>
              <w:rPr>
                <w:lang w:val="en-GB"/>
              </w:rPr>
              <w:t>100%</w:t>
            </w:r>
          </w:p>
        </w:tc>
        <w:tc>
          <w:tcPr>
            <w:tcW w:w="1223" w:type="dxa"/>
          </w:tcPr>
          <w:p w14:paraId="2E2F2A94" w14:textId="5169CC12" w:rsidR="002A33DD" w:rsidRPr="0083254F" w:rsidRDefault="0065552A" w:rsidP="00AF42EE">
            <w:pPr>
              <w:rPr>
                <w:lang w:val="en-GB"/>
              </w:rPr>
            </w:pPr>
            <w:r>
              <w:rPr>
                <w:lang w:val="en-GB"/>
              </w:rPr>
              <w:t>100%</w:t>
            </w:r>
          </w:p>
        </w:tc>
        <w:tc>
          <w:tcPr>
            <w:tcW w:w="1223" w:type="dxa"/>
          </w:tcPr>
          <w:p w14:paraId="62812D0E" w14:textId="3F96E4F9" w:rsidR="002A33DD" w:rsidRPr="0083254F" w:rsidRDefault="0065552A" w:rsidP="00AF42EE">
            <w:pPr>
              <w:rPr>
                <w:lang w:val="en-GB"/>
              </w:rPr>
            </w:pPr>
            <w:r>
              <w:rPr>
                <w:lang w:val="en-GB"/>
              </w:rPr>
              <w:t>100%</w:t>
            </w:r>
          </w:p>
        </w:tc>
        <w:tc>
          <w:tcPr>
            <w:tcW w:w="1223" w:type="dxa"/>
          </w:tcPr>
          <w:p w14:paraId="10AA6242" w14:textId="58AAA112" w:rsidR="002A33DD" w:rsidRPr="0083254F" w:rsidRDefault="0065552A" w:rsidP="00AF42EE">
            <w:pPr>
              <w:rPr>
                <w:lang w:val="en-GB"/>
              </w:rPr>
            </w:pPr>
            <w:r>
              <w:rPr>
                <w:lang w:val="en-GB"/>
              </w:rPr>
              <w:t>100%</w:t>
            </w:r>
          </w:p>
        </w:tc>
      </w:tr>
      <w:tr w:rsidR="002A33DD" w:rsidRPr="0083254F" w14:paraId="582C976C" w14:textId="77777777" w:rsidTr="003F7B4D">
        <w:tc>
          <w:tcPr>
            <w:tcW w:w="639" w:type="dxa"/>
            <w:vMerge/>
          </w:tcPr>
          <w:p w14:paraId="4A626660" w14:textId="77777777" w:rsidR="002A33DD" w:rsidRPr="0083254F" w:rsidRDefault="002A33DD" w:rsidP="00AF42EE">
            <w:pPr>
              <w:rPr>
                <w:lang w:val="en-GB"/>
              </w:rPr>
            </w:pPr>
          </w:p>
        </w:tc>
        <w:tc>
          <w:tcPr>
            <w:tcW w:w="12311" w:type="dxa"/>
            <w:gridSpan w:val="6"/>
            <w:shd w:val="clear" w:color="auto" w:fill="D0CECE" w:themeFill="background2" w:themeFillShade="E6"/>
          </w:tcPr>
          <w:p w14:paraId="3BFE3BBB"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 1.1.5</w:t>
            </w:r>
          </w:p>
          <w:p w14:paraId="23463A05" w14:textId="77777777" w:rsidR="002A33DD" w:rsidRPr="0083254F" w:rsidRDefault="002A33DD" w:rsidP="00AF42EE">
            <w:pPr>
              <w:rPr>
                <w:lang w:val="en-GB"/>
              </w:rPr>
            </w:pPr>
            <w:r w:rsidRPr="0083254F">
              <w:rPr>
                <w:b/>
                <w:lang w:val="en-GB"/>
              </w:rPr>
              <w:t>Data source:</w:t>
            </w:r>
            <w:r w:rsidRPr="0083254F">
              <w:rPr>
                <w:lang w:val="en-GB"/>
              </w:rPr>
              <w:t xml:space="preserve"> HQ Management Support unit </w:t>
            </w:r>
          </w:p>
        </w:tc>
      </w:tr>
      <w:tr w:rsidR="002A33DD" w:rsidRPr="0083254F" w14:paraId="66661BAA" w14:textId="77777777" w:rsidTr="003F7B4D">
        <w:tc>
          <w:tcPr>
            <w:tcW w:w="639" w:type="dxa"/>
            <w:vMerge w:val="restart"/>
          </w:tcPr>
          <w:p w14:paraId="41BA009F" w14:textId="07C106A6" w:rsidR="002A33DD" w:rsidRPr="0083254F" w:rsidRDefault="002A33DD" w:rsidP="00AF42EE">
            <w:pPr>
              <w:rPr>
                <w:lang w:val="en-GB"/>
              </w:rPr>
            </w:pPr>
            <w:r w:rsidRPr="0083254F">
              <w:rPr>
                <w:lang w:val="en-GB"/>
              </w:rPr>
              <w:t>IE</w:t>
            </w:r>
            <w:r w:rsidR="008414CD">
              <w:rPr>
                <w:lang w:val="en-GB"/>
              </w:rPr>
              <w:t>3</w:t>
            </w:r>
            <w:r w:rsidRPr="0083254F">
              <w:rPr>
                <w:lang w:val="en-GB"/>
              </w:rPr>
              <w:t>.</w:t>
            </w:r>
            <w:r w:rsidR="00F06B13">
              <w:rPr>
                <w:lang w:val="en-GB"/>
              </w:rPr>
              <w:t>6</w:t>
            </w:r>
          </w:p>
        </w:tc>
        <w:tc>
          <w:tcPr>
            <w:tcW w:w="6188" w:type="dxa"/>
          </w:tcPr>
          <w:p w14:paraId="17B6AD4E" w14:textId="77777777" w:rsidR="002A33DD" w:rsidRPr="0083254F" w:rsidRDefault="002A33DD" w:rsidP="00AF42EE">
            <w:pPr>
              <w:rPr>
                <w:lang w:val="en-GB"/>
              </w:rPr>
            </w:pPr>
            <w:r w:rsidRPr="0083254F">
              <w:rPr>
                <w:lang w:val="en-GB"/>
              </w:rPr>
              <w:t>Implementation rate of agreed-upon audit recommendations</w:t>
            </w:r>
          </w:p>
        </w:tc>
        <w:tc>
          <w:tcPr>
            <w:tcW w:w="1231" w:type="dxa"/>
          </w:tcPr>
          <w:p w14:paraId="56233F22" w14:textId="6605FCBC" w:rsidR="002A33DD" w:rsidRPr="0083254F" w:rsidRDefault="0065552A" w:rsidP="00AF42EE">
            <w:pPr>
              <w:rPr>
                <w:lang w:val="en-GB"/>
              </w:rPr>
            </w:pPr>
            <w:r>
              <w:rPr>
                <w:lang w:val="en-GB"/>
              </w:rPr>
              <w:t>85%</w:t>
            </w:r>
          </w:p>
        </w:tc>
        <w:tc>
          <w:tcPr>
            <w:tcW w:w="1223" w:type="dxa"/>
          </w:tcPr>
          <w:p w14:paraId="2139E53A" w14:textId="48139176" w:rsidR="002A33DD" w:rsidRPr="0083254F" w:rsidRDefault="0065552A" w:rsidP="00AF42EE">
            <w:pPr>
              <w:rPr>
                <w:lang w:val="en-GB"/>
              </w:rPr>
            </w:pPr>
            <w:r>
              <w:rPr>
                <w:lang w:val="en-GB"/>
              </w:rPr>
              <w:t>100%</w:t>
            </w:r>
          </w:p>
        </w:tc>
        <w:tc>
          <w:tcPr>
            <w:tcW w:w="1223" w:type="dxa"/>
          </w:tcPr>
          <w:p w14:paraId="451BAECC" w14:textId="5C98E1A4" w:rsidR="002A33DD" w:rsidRPr="0083254F" w:rsidRDefault="0065552A" w:rsidP="00AF42EE">
            <w:pPr>
              <w:rPr>
                <w:lang w:val="en-GB"/>
              </w:rPr>
            </w:pPr>
            <w:r>
              <w:rPr>
                <w:lang w:val="en-GB"/>
              </w:rPr>
              <w:t>100%</w:t>
            </w:r>
          </w:p>
        </w:tc>
        <w:tc>
          <w:tcPr>
            <w:tcW w:w="1223" w:type="dxa"/>
          </w:tcPr>
          <w:p w14:paraId="520DA1F3" w14:textId="27049336" w:rsidR="002A33DD" w:rsidRPr="0083254F" w:rsidRDefault="0065552A" w:rsidP="00AF42EE">
            <w:pPr>
              <w:rPr>
                <w:lang w:val="en-GB"/>
              </w:rPr>
            </w:pPr>
            <w:r>
              <w:rPr>
                <w:lang w:val="en-GB"/>
              </w:rPr>
              <w:t>100%</w:t>
            </w:r>
          </w:p>
        </w:tc>
        <w:tc>
          <w:tcPr>
            <w:tcW w:w="1223" w:type="dxa"/>
          </w:tcPr>
          <w:p w14:paraId="700AB8F2" w14:textId="3FD39637" w:rsidR="002A33DD" w:rsidRPr="0083254F" w:rsidRDefault="0065552A" w:rsidP="00AF42EE">
            <w:pPr>
              <w:rPr>
                <w:lang w:val="en-GB"/>
              </w:rPr>
            </w:pPr>
            <w:r>
              <w:rPr>
                <w:lang w:val="en-GB"/>
              </w:rPr>
              <w:t>100%</w:t>
            </w:r>
          </w:p>
        </w:tc>
      </w:tr>
      <w:tr w:rsidR="002A33DD" w:rsidRPr="0083254F" w14:paraId="0D48992F" w14:textId="77777777" w:rsidTr="003F7B4D">
        <w:tc>
          <w:tcPr>
            <w:tcW w:w="639" w:type="dxa"/>
            <w:vMerge/>
          </w:tcPr>
          <w:p w14:paraId="76403D6B" w14:textId="77777777" w:rsidR="002A33DD" w:rsidRPr="0083254F" w:rsidRDefault="002A33DD" w:rsidP="00AF42EE">
            <w:pPr>
              <w:rPr>
                <w:lang w:val="en-GB"/>
              </w:rPr>
            </w:pPr>
          </w:p>
        </w:tc>
        <w:tc>
          <w:tcPr>
            <w:tcW w:w="12311" w:type="dxa"/>
            <w:gridSpan w:val="6"/>
            <w:shd w:val="clear" w:color="auto" w:fill="D0CECE" w:themeFill="background2" w:themeFillShade="E6"/>
          </w:tcPr>
          <w:p w14:paraId="19812AF5"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 1.1.6</w:t>
            </w:r>
          </w:p>
          <w:p w14:paraId="0B59C0DD" w14:textId="77777777" w:rsidR="002A33DD" w:rsidRPr="0083254F" w:rsidRDefault="002A33DD" w:rsidP="00AF42EE">
            <w:pPr>
              <w:rPr>
                <w:lang w:val="en-GB"/>
              </w:rPr>
            </w:pPr>
            <w:r w:rsidRPr="0083254F">
              <w:rPr>
                <w:b/>
                <w:lang w:val="en-GB"/>
              </w:rPr>
              <w:t>Data source:</w:t>
            </w:r>
            <w:r w:rsidRPr="0083254F">
              <w:rPr>
                <w:lang w:val="en-GB"/>
              </w:rPr>
              <w:t xml:space="preserve"> HQ Management Support unit </w:t>
            </w:r>
          </w:p>
        </w:tc>
      </w:tr>
      <w:tr w:rsidR="002A33DD" w:rsidRPr="0083254F" w14:paraId="3962D60C" w14:textId="77777777" w:rsidTr="003F7B4D">
        <w:tc>
          <w:tcPr>
            <w:tcW w:w="639" w:type="dxa"/>
            <w:vMerge w:val="restart"/>
          </w:tcPr>
          <w:p w14:paraId="35294AB6" w14:textId="1328D50A" w:rsidR="002A33DD" w:rsidRPr="0083254F" w:rsidRDefault="002A33DD" w:rsidP="00AF42EE">
            <w:pPr>
              <w:rPr>
                <w:lang w:val="en-GB"/>
              </w:rPr>
            </w:pPr>
            <w:r w:rsidRPr="0083254F">
              <w:rPr>
                <w:lang w:val="en-GB"/>
              </w:rPr>
              <w:t>IE</w:t>
            </w:r>
            <w:r w:rsidR="008414CD">
              <w:rPr>
                <w:lang w:val="en-GB"/>
              </w:rPr>
              <w:t>3</w:t>
            </w:r>
            <w:r w:rsidRPr="0083254F">
              <w:rPr>
                <w:lang w:val="en-GB"/>
              </w:rPr>
              <w:t>.</w:t>
            </w:r>
            <w:r w:rsidR="00F06B13">
              <w:rPr>
                <w:lang w:val="en-GB"/>
              </w:rPr>
              <w:t>7</w:t>
            </w:r>
          </w:p>
        </w:tc>
        <w:tc>
          <w:tcPr>
            <w:tcW w:w="6188" w:type="dxa"/>
          </w:tcPr>
          <w:p w14:paraId="0C23E929" w14:textId="77777777" w:rsidR="002A33DD" w:rsidRPr="0083254F" w:rsidRDefault="002A33DD" w:rsidP="00AF42EE">
            <w:pPr>
              <w:rPr>
                <w:lang w:val="en-GB"/>
              </w:rPr>
            </w:pPr>
            <w:r w:rsidRPr="0083254F">
              <w:rPr>
                <w:lang w:val="en-GB"/>
              </w:rPr>
              <w:t>Percentage of UNCDF compliance with UN System-Wide Action Plan on Gender, reported as ‘meeting’ standards or above among the 15 performance categories</w:t>
            </w:r>
          </w:p>
        </w:tc>
        <w:tc>
          <w:tcPr>
            <w:tcW w:w="1231" w:type="dxa"/>
          </w:tcPr>
          <w:p w14:paraId="58B4707B" w14:textId="710E76DD" w:rsidR="002A33DD" w:rsidRPr="0083254F" w:rsidRDefault="0065552A" w:rsidP="00AF42EE">
            <w:pPr>
              <w:rPr>
                <w:lang w:val="en-GB"/>
              </w:rPr>
            </w:pPr>
            <w:r>
              <w:rPr>
                <w:lang w:val="en-GB"/>
              </w:rPr>
              <w:t>73%</w:t>
            </w:r>
          </w:p>
        </w:tc>
        <w:tc>
          <w:tcPr>
            <w:tcW w:w="1223" w:type="dxa"/>
          </w:tcPr>
          <w:p w14:paraId="1D4C0D6E" w14:textId="6C619C8B" w:rsidR="002A33DD" w:rsidRPr="0083254F" w:rsidRDefault="0065552A" w:rsidP="00AF42EE">
            <w:pPr>
              <w:rPr>
                <w:lang w:val="en-GB"/>
              </w:rPr>
            </w:pPr>
            <w:r>
              <w:rPr>
                <w:lang w:val="en-GB"/>
              </w:rPr>
              <w:t>75%</w:t>
            </w:r>
          </w:p>
        </w:tc>
        <w:tc>
          <w:tcPr>
            <w:tcW w:w="1223" w:type="dxa"/>
          </w:tcPr>
          <w:p w14:paraId="09ABFA46" w14:textId="2CC87B1D" w:rsidR="002A33DD" w:rsidRPr="0083254F" w:rsidRDefault="0065552A" w:rsidP="00AF42EE">
            <w:pPr>
              <w:rPr>
                <w:lang w:val="en-GB"/>
              </w:rPr>
            </w:pPr>
            <w:r>
              <w:rPr>
                <w:lang w:val="en-GB"/>
              </w:rPr>
              <w:t>80%</w:t>
            </w:r>
          </w:p>
        </w:tc>
        <w:tc>
          <w:tcPr>
            <w:tcW w:w="1223" w:type="dxa"/>
          </w:tcPr>
          <w:p w14:paraId="25AD0395" w14:textId="490D5A77" w:rsidR="002A33DD" w:rsidRPr="0083254F" w:rsidRDefault="0065552A" w:rsidP="00AF42EE">
            <w:pPr>
              <w:rPr>
                <w:lang w:val="en-GB"/>
              </w:rPr>
            </w:pPr>
            <w:r>
              <w:rPr>
                <w:lang w:val="en-GB"/>
              </w:rPr>
              <w:t>85%</w:t>
            </w:r>
          </w:p>
        </w:tc>
        <w:tc>
          <w:tcPr>
            <w:tcW w:w="1223" w:type="dxa"/>
          </w:tcPr>
          <w:p w14:paraId="796F2EC9" w14:textId="2C3E64BF" w:rsidR="002A33DD" w:rsidRPr="0083254F" w:rsidRDefault="0065552A" w:rsidP="00AF42EE">
            <w:pPr>
              <w:rPr>
                <w:lang w:val="en-GB"/>
              </w:rPr>
            </w:pPr>
            <w:r>
              <w:rPr>
                <w:lang w:val="en-GB"/>
              </w:rPr>
              <w:t>90%</w:t>
            </w:r>
          </w:p>
        </w:tc>
      </w:tr>
      <w:tr w:rsidR="002A33DD" w:rsidRPr="0083254F" w14:paraId="28F032B3" w14:textId="77777777" w:rsidTr="003F7B4D">
        <w:tc>
          <w:tcPr>
            <w:tcW w:w="639" w:type="dxa"/>
            <w:vMerge/>
          </w:tcPr>
          <w:p w14:paraId="1FBA5C1C" w14:textId="77777777" w:rsidR="002A33DD" w:rsidRPr="0083254F" w:rsidRDefault="002A33DD" w:rsidP="00AF42EE">
            <w:pPr>
              <w:rPr>
                <w:lang w:val="en-GB"/>
              </w:rPr>
            </w:pPr>
          </w:p>
        </w:tc>
        <w:tc>
          <w:tcPr>
            <w:tcW w:w="12311" w:type="dxa"/>
            <w:gridSpan w:val="6"/>
            <w:shd w:val="clear" w:color="auto" w:fill="D0CECE" w:themeFill="background2" w:themeFillShade="E6"/>
          </w:tcPr>
          <w:p w14:paraId="4B6C582A"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 1.1.7</w:t>
            </w:r>
          </w:p>
          <w:p w14:paraId="167F33BA" w14:textId="77777777" w:rsidR="002A33DD" w:rsidRPr="0083254F" w:rsidRDefault="002A33DD" w:rsidP="00AF42EE">
            <w:pPr>
              <w:rPr>
                <w:lang w:val="en-GB"/>
              </w:rPr>
            </w:pPr>
            <w:r w:rsidRPr="0083254F">
              <w:rPr>
                <w:b/>
                <w:lang w:val="en-GB"/>
              </w:rPr>
              <w:t>Data source:</w:t>
            </w:r>
            <w:r w:rsidRPr="0083254F">
              <w:rPr>
                <w:lang w:val="en-GB"/>
              </w:rPr>
              <w:t xml:space="preserve"> HQ UN SWAP report</w:t>
            </w:r>
          </w:p>
        </w:tc>
      </w:tr>
      <w:tr w:rsidR="002A33DD" w:rsidRPr="0083254F" w14:paraId="0C8999AF" w14:textId="77777777" w:rsidTr="003F7B4D">
        <w:tc>
          <w:tcPr>
            <w:tcW w:w="639" w:type="dxa"/>
            <w:vMerge w:val="restart"/>
          </w:tcPr>
          <w:p w14:paraId="21D5C57C" w14:textId="2081A618" w:rsidR="002A33DD" w:rsidRPr="0083254F" w:rsidRDefault="002A33DD" w:rsidP="00AF42EE">
            <w:pPr>
              <w:rPr>
                <w:lang w:val="en-GB"/>
              </w:rPr>
            </w:pPr>
            <w:bookmarkStart w:id="6" w:name="_Hlk498696320"/>
            <w:r w:rsidRPr="0083254F">
              <w:rPr>
                <w:lang w:val="en-GB"/>
              </w:rPr>
              <w:t>IE</w:t>
            </w:r>
            <w:r w:rsidR="008414CD">
              <w:rPr>
                <w:lang w:val="en-GB"/>
              </w:rPr>
              <w:t>3</w:t>
            </w:r>
            <w:r w:rsidRPr="0083254F">
              <w:rPr>
                <w:lang w:val="en-GB"/>
              </w:rPr>
              <w:t>.</w:t>
            </w:r>
            <w:r w:rsidR="00F06B13">
              <w:rPr>
                <w:lang w:val="en-GB"/>
              </w:rPr>
              <w:t>8</w:t>
            </w:r>
          </w:p>
        </w:tc>
        <w:tc>
          <w:tcPr>
            <w:tcW w:w="6188" w:type="dxa"/>
          </w:tcPr>
          <w:p w14:paraId="2105F253" w14:textId="77777777" w:rsidR="002A33DD" w:rsidRPr="0083254F" w:rsidRDefault="002A33DD" w:rsidP="00AF42EE">
            <w:pPr>
              <w:rPr>
                <w:lang w:val="en-GB"/>
              </w:rPr>
            </w:pPr>
            <w:r w:rsidRPr="0083254F">
              <w:rPr>
                <w:lang w:val="en-GB"/>
              </w:rPr>
              <w:t>a) LDC footprint and b) total country footprint of UNCDF as whole and disaggregated by practice</w:t>
            </w:r>
          </w:p>
        </w:tc>
        <w:tc>
          <w:tcPr>
            <w:tcW w:w="1231" w:type="dxa"/>
          </w:tcPr>
          <w:p w14:paraId="7C2E308B" w14:textId="1199F778" w:rsidR="002A33DD" w:rsidRPr="0083254F" w:rsidRDefault="002A33DD" w:rsidP="00AF42EE">
            <w:pPr>
              <w:rPr>
                <w:lang w:val="en-GB"/>
              </w:rPr>
            </w:pPr>
            <w:r w:rsidRPr="0083254F">
              <w:rPr>
                <w:lang w:val="en-GB"/>
              </w:rPr>
              <w:t>a)</w:t>
            </w:r>
            <w:r w:rsidR="0065552A">
              <w:rPr>
                <w:lang w:val="en-GB"/>
              </w:rPr>
              <w:t xml:space="preserve"> 30 (6 in risk of closing)</w:t>
            </w:r>
          </w:p>
          <w:p w14:paraId="13092EE6" w14:textId="4D4449E9" w:rsidR="002A33DD" w:rsidRPr="0083254F" w:rsidRDefault="002A33DD" w:rsidP="00AF42EE">
            <w:pPr>
              <w:rPr>
                <w:lang w:val="en-GB"/>
              </w:rPr>
            </w:pPr>
            <w:r w:rsidRPr="0083254F">
              <w:rPr>
                <w:lang w:val="en-GB"/>
              </w:rPr>
              <w:t>b)</w:t>
            </w:r>
            <w:r w:rsidR="0065552A">
              <w:rPr>
                <w:lang w:val="en-GB"/>
              </w:rPr>
              <w:t xml:space="preserve"> 39</w:t>
            </w:r>
          </w:p>
        </w:tc>
        <w:tc>
          <w:tcPr>
            <w:tcW w:w="1223" w:type="dxa"/>
          </w:tcPr>
          <w:p w14:paraId="6258DE55" w14:textId="6B54290B" w:rsidR="002A33DD" w:rsidRPr="0083254F" w:rsidRDefault="002A33DD" w:rsidP="00AF42EE">
            <w:pPr>
              <w:rPr>
                <w:lang w:val="en-GB"/>
              </w:rPr>
            </w:pPr>
            <w:r w:rsidRPr="0083254F">
              <w:rPr>
                <w:lang w:val="en-GB"/>
              </w:rPr>
              <w:t>a)</w:t>
            </w:r>
            <w:r w:rsidR="00BB3ED4">
              <w:rPr>
                <w:lang w:val="en-GB"/>
              </w:rPr>
              <w:t xml:space="preserve"> 30 (robust presence)</w:t>
            </w:r>
          </w:p>
          <w:p w14:paraId="0656463D" w14:textId="7A6D7ED4" w:rsidR="002A33DD" w:rsidRPr="0083254F" w:rsidRDefault="002A33DD" w:rsidP="00AF42EE">
            <w:pPr>
              <w:rPr>
                <w:lang w:val="en-GB"/>
              </w:rPr>
            </w:pPr>
            <w:r w:rsidRPr="0083254F">
              <w:rPr>
                <w:lang w:val="en-GB"/>
              </w:rPr>
              <w:t>b)</w:t>
            </w:r>
            <w:r w:rsidR="00BB3ED4">
              <w:rPr>
                <w:lang w:val="en-GB"/>
              </w:rPr>
              <w:t xml:space="preserve"> 39</w:t>
            </w:r>
          </w:p>
        </w:tc>
        <w:tc>
          <w:tcPr>
            <w:tcW w:w="1223" w:type="dxa"/>
          </w:tcPr>
          <w:p w14:paraId="36D14018" w14:textId="1C7D5641" w:rsidR="002A33DD" w:rsidRPr="0083254F" w:rsidRDefault="002A33DD" w:rsidP="00AF42EE">
            <w:pPr>
              <w:rPr>
                <w:lang w:val="en-GB"/>
              </w:rPr>
            </w:pPr>
            <w:r w:rsidRPr="0083254F">
              <w:rPr>
                <w:lang w:val="en-GB"/>
              </w:rPr>
              <w:t>a)</w:t>
            </w:r>
            <w:r w:rsidR="00BB3ED4">
              <w:rPr>
                <w:lang w:val="en-GB"/>
              </w:rPr>
              <w:t xml:space="preserve"> 32</w:t>
            </w:r>
          </w:p>
          <w:p w14:paraId="14949976" w14:textId="5A902D41" w:rsidR="002A33DD" w:rsidRPr="0083254F" w:rsidRDefault="002A33DD" w:rsidP="00AF42EE">
            <w:pPr>
              <w:rPr>
                <w:lang w:val="en-GB"/>
              </w:rPr>
            </w:pPr>
            <w:r w:rsidRPr="0083254F">
              <w:rPr>
                <w:lang w:val="en-GB"/>
              </w:rPr>
              <w:t>b)</w:t>
            </w:r>
            <w:r w:rsidR="00BB3ED4">
              <w:rPr>
                <w:lang w:val="en-GB"/>
              </w:rPr>
              <w:t xml:space="preserve"> 42</w:t>
            </w:r>
          </w:p>
        </w:tc>
        <w:tc>
          <w:tcPr>
            <w:tcW w:w="1223" w:type="dxa"/>
          </w:tcPr>
          <w:p w14:paraId="23CFF4F3" w14:textId="0F12AC7F" w:rsidR="002A33DD" w:rsidRPr="0083254F" w:rsidRDefault="002A33DD" w:rsidP="00AF42EE">
            <w:pPr>
              <w:rPr>
                <w:lang w:val="en-GB"/>
              </w:rPr>
            </w:pPr>
            <w:r w:rsidRPr="0083254F">
              <w:rPr>
                <w:lang w:val="en-GB"/>
              </w:rPr>
              <w:t>a)</w:t>
            </w:r>
            <w:r w:rsidR="00BB3ED4">
              <w:rPr>
                <w:lang w:val="en-GB"/>
              </w:rPr>
              <w:t xml:space="preserve"> 34</w:t>
            </w:r>
          </w:p>
          <w:p w14:paraId="7BF4C0C7" w14:textId="1A3DA9EB" w:rsidR="002A33DD" w:rsidRPr="0083254F" w:rsidRDefault="002A33DD" w:rsidP="00AF42EE">
            <w:pPr>
              <w:rPr>
                <w:lang w:val="en-GB"/>
              </w:rPr>
            </w:pPr>
            <w:r w:rsidRPr="0083254F">
              <w:rPr>
                <w:lang w:val="en-GB"/>
              </w:rPr>
              <w:t>b)</w:t>
            </w:r>
            <w:r w:rsidR="00BB3ED4">
              <w:rPr>
                <w:lang w:val="en-GB"/>
              </w:rPr>
              <w:t xml:space="preserve"> 44</w:t>
            </w:r>
          </w:p>
        </w:tc>
        <w:tc>
          <w:tcPr>
            <w:tcW w:w="1223" w:type="dxa"/>
          </w:tcPr>
          <w:p w14:paraId="77947C77" w14:textId="517296BA" w:rsidR="002A33DD" w:rsidRPr="0083254F" w:rsidRDefault="002A33DD" w:rsidP="00AF42EE">
            <w:pPr>
              <w:rPr>
                <w:lang w:val="en-GB"/>
              </w:rPr>
            </w:pPr>
            <w:r w:rsidRPr="0083254F">
              <w:rPr>
                <w:lang w:val="en-GB"/>
              </w:rPr>
              <w:t>a)</w:t>
            </w:r>
            <w:r w:rsidR="00BB3ED4">
              <w:rPr>
                <w:lang w:val="en-GB"/>
              </w:rPr>
              <w:t xml:space="preserve"> 36</w:t>
            </w:r>
          </w:p>
          <w:p w14:paraId="1677C9E8" w14:textId="40112328" w:rsidR="002A33DD" w:rsidRPr="0083254F" w:rsidRDefault="002A33DD" w:rsidP="00AF42EE">
            <w:pPr>
              <w:rPr>
                <w:lang w:val="en-GB"/>
              </w:rPr>
            </w:pPr>
            <w:r w:rsidRPr="0083254F">
              <w:rPr>
                <w:lang w:val="en-GB"/>
              </w:rPr>
              <w:t>b)</w:t>
            </w:r>
            <w:r w:rsidR="00BB3ED4">
              <w:rPr>
                <w:lang w:val="en-GB"/>
              </w:rPr>
              <w:t xml:space="preserve"> 46</w:t>
            </w:r>
          </w:p>
        </w:tc>
      </w:tr>
      <w:bookmarkEnd w:id="6"/>
      <w:tr w:rsidR="002A33DD" w:rsidRPr="0083254F" w14:paraId="5589F383" w14:textId="77777777" w:rsidTr="003F7B4D">
        <w:tc>
          <w:tcPr>
            <w:tcW w:w="639" w:type="dxa"/>
            <w:vMerge/>
          </w:tcPr>
          <w:p w14:paraId="15D97E3B" w14:textId="77777777" w:rsidR="002A33DD" w:rsidRPr="0083254F" w:rsidRDefault="002A33DD" w:rsidP="00AF42EE">
            <w:pPr>
              <w:rPr>
                <w:lang w:val="en-GB"/>
              </w:rPr>
            </w:pPr>
          </w:p>
        </w:tc>
        <w:tc>
          <w:tcPr>
            <w:tcW w:w="12311" w:type="dxa"/>
            <w:gridSpan w:val="6"/>
            <w:shd w:val="clear" w:color="auto" w:fill="D0CECE" w:themeFill="background2" w:themeFillShade="E6"/>
          </w:tcPr>
          <w:p w14:paraId="53CC64FD" w14:textId="77777777" w:rsidR="002A33DD" w:rsidRPr="0083254F" w:rsidRDefault="002A33DD" w:rsidP="00AF42EE">
            <w:pPr>
              <w:rPr>
                <w:lang w:val="en-GB"/>
              </w:rPr>
            </w:pPr>
            <w:r w:rsidRPr="0083254F">
              <w:rPr>
                <w:b/>
                <w:lang w:val="en-GB"/>
              </w:rPr>
              <w:t>Related UNCDF IRRM 2014-2017 indicator:</w:t>
            </w:r>
            <w:r w:rsidRPr="0083254F">
              <w:rPr>
                <w:lang w:val="en-GB"/>
              </w:rPr>
              <w:t xml:space="preserve"> Amended Institutional Effectiveness indicator 1.2.10</w:t>
            </w:r>
          </w:p>
          <w:p w14:paraId="634B29A8" w14:textId="77777777" w:rsidR="002A33DD" w:rsidRPr="0083254F" w:rsidRDefault="002A33DD" w:rsidP="00AF42EE">
            <w:pPr>
              <w:rPr>
                <w:lang w:val="en-GB"/>
              </w:rPr>
            </w:pPr>
            <w:r w:rsidRPr="0083254F">
              <w:rPr>
                <w:b/>
                <w:lang w:val="en-GB"/>
              </w:rPr>
              <w:t>Data source:</w:t>
            </w:r>
            <w:r w:rsidRPr="0083254F">
              <w:rPr>
                <w:lang w:val="en-GB"/>
              </w:rPr>
              <w:t xml:space="preserve"> HQ Programme Management Support Unit, Project reports</w:t>
            </w:r>
          </w:p>
        </w:tc>
      </w:tr>
    </w:tbl>
    <w:p w14:paraId="2FA7B0AA" w14:textId="77777777" w:rsidR="002A33DD" w:rsidRDefault="002A33DD" w:rsidP="00D70690">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970"/>
        <w:gridCol w:w="6148"/>
        <w:gridCol w:w="1188"/>
        <w:gridCol w:w="1161"/>
        <w:gridCol w:w="1161"/>
        <w:gridCol w:w="1161"/>
        <w:gridCol w:w="1161"/>
      </w:tblGrid>
      <w:tr w:rsidR="002A33DD" w:rsidRPr="0083254F" w14:paraId="2FAA99E0" w14:textId="77777777" w:rsidTr="003F7B4D">
        <w:trPr>
          <w:trHeight w:val="395"/>
        </w:trPr>
        <w:tc>
          <w:tcPr>
            <w:tcW w:w="12950" w:type="dxa"/>
            <w:gridSpan w:val="7"/>
            <w:shd w:val="clear" w:color="auto" w:fill="BDD6EE" w:themeFill="accent5" w:themeFillTint="66"/>
            <w:vAlign w:val="center"/>
          </w:tcPr>
          <w:p w14:paraId="4F314180" w14:textId="77777777" w:rsidR="002A33DD" w:rsidRPr="0083254F" w:rsidRDefault="008414CD" w:rsidP="00AF42EE">
            <w:pPr>
              <w:rPr>
                <w:lang w:val="en-GB"/>
              </w:rPr>
            </w:pPr>
            <w:r>
              <w:rPr>
                <w:b/>
                <w:sz w:val="24"/>
                <w:szCs w:val="24"/>
                <w:lang w:val="en-GB"/>
              </w:rPr>
              <w:t>Institutional Enabler 4</w:t>
            </w:r>
            <w:r w:rsidR="002A33DD" w:rsidRPr="0083254F">
              <w:rPr>
                <w:b/>
                <w:sz w:val="24"/>
                <w:szCs w:val="24"/>
                <w:lang w:val="en-GB"/>
              </w:rPr>
              <w:t xml:space="preserve">: People </w:t>
            </w:r>
          </w:p>
        </w:tc>
      </w:tr>
      <w:tr w:rsidR="002A33DD" w:rsidRPr="0083254F" w14:paraId="06A41118" w14:textId="77777777" w:rsidTr="003F7B4D">
        <w:tc>
          <w:tcPr>
            <w:tcW w:w="7118" w:type="dxa"/>
            <w:gridSpan w:val="2"/>
            <w:shd w:val="clear" w:color="auto" w:fill="F2F2F2" w:themeFill="background1" w:themeFillShade="F2"/>
          </w:tcPr>
          <w:p w14:paraId="3EDE0011" w14:textId="77777777" w:rsidR="002A33DD" w:rsidRPr="0083254F" w:rsidRDefault="002A33DD" w:rsidP="00AF42EE">
            <w:pPr>
              <w:rPr>
                <w:lang w:val="en-GB"/>
              </w:rPr>
            </w:pPr>
            <w:r>
              <w:rPr>
                <w:b/>
                <w:lang w:val="en-GB"/>
              </w:rPr>
              <w:t xml:space="preserve">Institutional Effectiveness </w:t>
            </w:r>
            <w:r w:rsidRPr="0083254F">
              <w:rPr>
                <w:b/>
                <w:lang w:val="en-GB"/>
              </w:rPr>
              <w:t>indicators</w:t>
            </w:r>
          </w:p>
        </w:tc>
        <w:tc>
          <w:tcPr>
            <w:tcW w:w="1188" w:type="dxa"/>
            <w:shd w:val="clear" w:color="auto" w:fill="F2F2F2" w:themeFill="background1" w:themeFillShade="F2"/>
          </w:tcPr>
          <w:p w14:paraId="65B54FE9" w14:textId="77777777" w:rsidR="002A33DD" w:rsidRPr="0083254F" w:rsidRDefault="002A33DD" w:rsidP="00AF42EE">
            <w:pPr>
              <w:rPr>
                <w:lang w:val="en-GB"/>
              </w:rPr>
            </w:pPr>
            <w:r w:rsidRPr="0083254F">
              <w:rPr>
                <w:b/>
                <w:lang w:val="en-GB"/>
              </w:rPr>
              <w:t>Baseline</w:t>
            </w:r>
          </w:p>
        </w:tc>
        <w:tc>
          <w:tcPr>
            <w:tcW w:w="1161" w:type="dxa"/>
            <w:shd w:val="clear" w:color="auto" w:fill="F2F2F2" w:themeFill="background1" w:themeFillShade="F2"/>
          </w:tcPr>
          <w:p w14:paraId="77C77F46" w14:textId="77777777" w:rsidR="002A33DD" w:rsidRPr="0083254F" w:rsidRDefault="002A33DD" w:rsidP="00AF42EE">
            <w:pPr>
              <w:rPr>
                <w:lang w:val="en-GB"/>
              </w:rPr>
            </w:pPr>
            <w:r w:rsidRPr="0083254F">
              <w:rPr>
                <w:b/>
                <w:lang w:val="en-GB"/>
              </w:rPr>
              <w:t>2018 Target</w:t>
            </w:r>
          </w:p>
        </w:tc>
        <w:tc>
          <w:tcPr>
            <w:tcW w:w="1161" w:type="dxa"/>
            <w:shd w:val="clear" w:color="auto" w:fill="F2F2F2" w:themeFill="background1" w:themeFillShade="F2"/>
          </w:tcPr>
          <w:p w14:paraId="3B6A9445" w14:textId="77777777" w:rsidR="002A33DD" w:rsidRPr="0083254F" w:rsidRDefault="002A33DD" w:rsidP="00AF42EE">
            <w:pPr>
              <w:rPr>
                <w:lang w:val="en-GB"/>
              </w:rPr>
            </w:pPr>
            <w:r w:rsidRPr="0083254F">
              <w:rPr>
                <w:b/>
                <w:lang w:val="en-GB"/>
              </w:rPr>
              <w:t>2019 Target</w:t>
            </w:r>
          </w:p>
        </w:tc>
        <w:tc>
          <w:tcPr>
            <w:tcW w:w="1161" w:type="dxa"/>
            <w:shd w:val="clear" w:color="auto" w:fill="F2F2F2" w:themeFill="background1" w:themeFillShade="F2"/>
          </w:tcPr>
          <w:p w14:paraId="02C6EE04" w14:textId="77777777" w:rsidR="002A33DD" w:rsidRPr="0083254F" w:rsidRDefault="002A33DD" w:rsidP="00AF42EE">
            <w:pPr>
              <w:rPr>
                <w:lang w:val="en-GB"/>
              </w:rPr>
            </w:pPr>
            <w:r w:rsidRPr="0083254F">
              <w:rPr>
                <w:b/>
                <w:lang w:val="en-GB"/>
              </w:rPr>
              <w:t>2020 Target</w:t>
            </w:r>
          </w:p>
        </w:tc>
        <w:tc>
          <w:tcPr>
            <w:tcW w:w="1161" w:type="dxa"/>
            <w:shd w:val="clear" w:color="auto" w:fill="F2F2F2" w:themeFill="background1" w:themeFillShade="F2"/>
          </w:tcPr>
          <w:p w14:paraId="24A5C5DA" w14:textId="77777777" w:rsidR="002A33DD" w:rsidRPr="0083254F" w:rsidRDefault="002A33DD" w:rsidP="00AF42EE">
            <w:pPr>
              <w:rPr>
                <w:lang w:val="en-GB"/>
              </w:rPr>
            </w:pPr>
            <w:r w:rsidRPr="0083254F">
              <w:rPr>
                <w:b/>
                <w:lang w:val="en-GB"/>
              </w:rPr>
              <w:t>2021 Target</w:t>
            </w:r>
          </w:p>
        </w:tc>
      </w:tr>
      <w:tr w:rsidR="002A33DD" w:rsidRPr="0083254F" w14:paraId="4D769AF1" w14:textId="77777777" w:rsidTr="003F7B4D">
        <w:tc>
          <w:tcPr>
            <w:tcW w:w="970" w:type="dxa"/>
            <w:vMerge w:val="restart"/>
          </w:tcPr>
          <w:p w14:paraId="5F30887A" w14:textId="77777777" w:rsidR="002A33DD" w:rsidRPr="0083254F" w:rsidRDefault="008414CD" w:rsidP="00AF42EE">
            <w:pPr>
              <w:rPr>
                <w:lang w:val="en-GB"/>
              </w:rPr>
            </w:pPr>
            <w:r>
              <w:rPr>
                <w:lang w:val="en-GB"/>
              </w:rPr>
              <w:t>IE4</w:t>
            </w:r>
            <w:r w:rsidR="002A33DD" w:rsidRPr="0083254F">
              <w:rPr>
                <w:lang w:val="en-GB"/>
              </w:rPr>
              <w:t>.1</w:t>
            </w:r>
          </w:p>
        </w:tc>
        <w:tc>
          <w:tcPr>
            <w:tcW w:w="6148" w:type="dxa"/>
          </w:tcPr>
          <w:p w14:paraId="63F0AA74" w14:textId="4708EB33" w:rsidR="002A33DD" w:rsidRPr="0083254F" w:rsidRDefault="002A33DD" w:rsidP="00AF42EE">
            <w:pPr>
              <w:rPr>
                <w:lang w:val="en-GB"/>
              </w:rPr>
            </w:pPr>
            <w:r w:rsidRPr="0083254F">
              <w:rPr>
                <w:lang w:val="en-GB"/>
              </w:rPr>
              <w:t xml:space="preserve">Percentage of staff who are female </w:t>
            </w:r>
            <w:r w:rsidR="00E644B9">
              <w:rPr>
                <w:lang w:val="en-GB"/>
              </w:rPr>
              <w:t xml:space="preserve">a) </w:t>
            </w:r>
            <w:r w:rsidRPr="0083254F">
              <w:rPr>
                <w:lang w:val="en-GB"/>
              </w:rPr>
              <w:t xml:space="preserve">at all levels </w:t>
            </w:r>
            <w:r w:rsidR="00E644B9">
              <w:rPr>
                <w:lang w:val="en-GB"/>
              </w:rPr>
              <w:t xml:space="preserve">and b) at P4 and above levels </w:t>
            </w:r>
          </w:p>
        </w:tc>
        <w:tc>
          <w:tcPr>
            <w:tcW w:w="1188" w:type="dxa"/>
          </w:tcPr>
          <w:p w14:paraId="5D9F9959" w14:textId="77777777" w:rsidR="002A33DD" w:rsidRDefault="0065552A" w:rsidP="00AF42EE">
            <w:pPr>
              <w:rPr>
                <w:lang w:val="en-GB"/>
              </w:rPr>
            </w:pPr>
            <w:r>
              <w:rPr>
                <w:lang w:val="en-GB"/>
              </w:rPr>
              <w:t>a) 45%</w:t>
            </w:r>
          </w:p>
          <w:p w14:paraId="6DD492F0" w14:textId="4EA76F88" w:rsidR="0065552A" w:rsidRPr="0083254F" w:rsidRDefault="0065552A" w:rsidP="00AF42EE">
            <w:pPr>
              <w:rPr>
                <w:lang w:val="en-GB"/>
              </w:rPr>
            </w:pPr>
            <w:r>
              <w:rPr>
                <w:lang w:val="en-GB"/>
              </w:rPr>
              <w:t>b) 35%</w:t>
            </w:r>
          </w:p>
        </w:tc>
        <w:tc>
          <w:tcPr>
            <w:tcW w:w="1161" w:type="dxa"/>
          </w:tcPr>
          <w:p w14:paraId="5757B089" w14:textId="048B156D" w:rsidR="0065552A" w:rsidRDefault="0065552A" w:rsidP="0065552A">
            <w:pPr>
              <w:rPr>
                <w:lang w:val="en-GB"/>
              </w:rPr>
            </w:pPr>
            <w:r>
              <w:rPr>
                <w:lang w:val="en-GB"/>
              </w:rPr>
              <w:t>a) 50%</w:t>
            </w:r>
          </w:p>
          <w:p w14:paraId="59B63148" w14:textId="39A4F08A" w:rsidR="002A33DD" w:rsidRPr="0083254F" w:rsidRDefault="0065552A" w:rsidP="0065552A">
            <w:pPr>
              <w:rPr>
                <w:lang w:val="en-GB"/>
              </w:rPr>
            </w:pPr>
            <w:r>
              <w:rPr>
                <w:lang w:val="en-GB"/>
              </w:rPr>
              <w:t>b) 50%</w:t>
            </w:r>
          </w:p>
        </w:tc>
        <w:tc>
          <w:tcPr>
            <w:tcW w:w="1161" w:type="dxa"/>
          </w:tcPr>
          <w:p w14:paraId="1AA7FA1B" w14:textId="77777777" w:rsidR="0065552A" w:rsidRDefault="0065552A" w:rsidP="0065552A">
            <w:pPr>
              <w:rPr>
                <w:lang w:val="en-GB"/>
              </w:rPr>
            </w:pPr>
            <w:r>
              <w:rPr>
                <w:lang w:val="en-GB"/>
              </w:rPr>
              <w:t>a) 50%</w:t>
            </w:r>
          </w:p>
          <w:p w14:paraId="7814C2B5" w14:textId="39328CF0" w:rsidR="002A33DD" w:rsidRPr="0083254F" w:rsidRDefault="0065552A" w:rsidP="0065552A">
            <w:pPr>
              <w:rPr>
                <w:lang w:val="en-GB"/>
              </w:rPr>
            </w:pPr>
            <w:r>
              <w:rPr>
                <w:lang w:val="en-GB"/>
              </w:rPr>
              <w:t>b) 50%</w:t>
            </w:r>
          </w:p>
        </w:tc>
        <w:tc>
          <w:tcPr>
            <w:tcW w:w="1161" w:type="dxa"/>
          </w:tcPr>
          <w:p w14:paraId="79DE71DA" w14:textId="77777777" w:rsidR="0065552A" w:rsidRDefault="0065552A" w:rsidP="0065552A">
            <w:pPr>
              <w:rPr>
                <w:lang w:val="en-GB"/>
              </w:rPr>
            </w:pPr>
            <w:r>
              <w:rPr>
                <w:lang w:val="en-GB"/>
              </w:rPr>
              <w:t>a) 50%</w:t>
            </w:r>
          </w:p>
          <w:p w14:paraId="472CFA71" w14:textId="65C2AB0F" w:rsidR="002A33DD" w:rsidRPr="0083254F" w:rsidRDefault="0065552A" w:rsidP="0065552A">
            <w:pPr>
              <w:rPr>
                <w:lang w:val="en-GB"/>
              </w:rPr>
            </w:pPr>
            <w:r>
              <w:rPr>
                <w:lang w:val="en-GB"/>
              </w:rPr>
              <w:t>b) 50%</w:t>
            </w:r>
          </w:p>
        </w:tc>
        <w:tc>
          <w:tcPr>
            <w:tcW w:w="1161" w:type="dxa"/>
          </w:tcPr>
          <w:p w14:paraId="1CFF4B9E" w14:textId="77777777" w:rsidR="0065552A" w:rsidRDefault="0065552A" w:rsidP="0065552A">
            <w:pPr>
              <w:rPr>
                <w:lang w:val="en-GB"/>
              </w:rPr>
            </w:pPr>
            <w:r>
              <w:rPr>
                <w:lang w:val="en-GB"/>
              </w:rPr>
              <w:t>a) 50%</w:t>
            </w:r>
          </w:p>
          <w:p w14:paraId="7F507A73" w14:textId="0904B17C" w:rsidR="002A33DD" w:rsidRPr="0083254F" w:rsidRDefault="0065552A" w:rsidP="0065552A">
            <w:pPr>
              <w:rPr>
                <w:lang w:val="en-GB"/>
              </w:rPr>
            </w:pPr>
            <w:r>
              <w:rPr>
                <w:lang w:val="en-GB"/>
              </w:rPr>
              <w:t>b) 50%</w:t>
            </w:r>
          </w:p>
        </w:tc>
      </w:tr>
      <w:tr w:rsidR="002A33DD" w:rsidRPr="0083254F" w14:paraId="50CFC074" w14:textId="77777777" w:rsidTr="003F7B4D">
        <w:tc>
          <w:tcPr>
            <w:tcW w:w="970" w:type="dxa"/>
            <w:vMerge/>
          </w:tcPr>
          <w:p w14:paraId="5A22F17B" w14:textId="77777777" w:rsidR="002A33DD" w:rsidRPr="0083254F" w:rsidRDefault="002A33DD" w:rsidP="00AF42EE">
            <w:pPr>
              <w:rPr>
                <w:lang w:val="en-GB"/>
              </w:rPr>
            </w:pPr>
          </w:p>
        </w:tc>
        <w:tc>
          <w:tcPr>
            <w:tcW w:w="11980" w:type="dxa"/>
            <w:gridSpan w:val="6"/>
            <w:shd w:val="clear" w:color="auto" w:fill="D0CECE" w:themeFill="background2" w:themeFillShade="E6"/>
          </w:tcPr>
          <w:p w14:paraId="0996E509" w14:textId="33E8E954"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indicators 1.3.1</w:t>
            </w:r>
          </w:p>
          <w:p w14:paraId="7CDD4C94" w14:textId="77777777" w:rsidR="002A33DD" w:rsidRPr="0083254F" w:rsidRDefault="002A33DD" w:rsidP="00AF42EE">
            <w:pPr>
              <w:rPr>
                <w:lang w:val="en-GB"/>
              </w:rPr>
            </w:pPr>
            <w:r w:rsidRPr="0083254F">
              <w:rPr>
                <w:b/>
                <w:lang w:val="en-GB"/>
              </w:rPr>
              <w:t>Data source:</w:t>
            </w:r>
            <w:r w:rsidRPr="0083254F">
              <w:rPr>
                <w:lang w:val="en-GB"/>
              </w:rPr>
              <w:t xml:space="preserve"> HQ Management Support unit</w:t>
            </w:r>
          </w:p>
        </w:tc>
      </w:tr>
      <w:tr w:rsidR="004D56ED" w:rsidRPr="0083254F" w14:paraId="3FC65204" w14:textId="77777777" w:rsidTr="003F7B4D">
        <w:tc>
          <w:tcPr>
            <w:tcW w:w="970" w:type="dxa"/>
            <w:vMerge w:val="restart"/>
          </w:tcPr>
          <w:p w14:paraId="161D2C69" w14:textId="781A24D6" w:rsidR="004D56ED" w:rsidRPr="0083254F" w:rsidRDefault="004D56ED" w:rsidP="004D56ED">
            <w:pPr>
              <w:rPr>
                <w:lang w:val="en-GB"/>
              </w:rPr>
            </w:pPr>
            <w:r w:rsidRPr="0083254F">
              <w:rPr>
                <w:lang w:val="en-GB"/>
              </w:rPr>
              <w:lastRenderedPageBreak/>
              <w:t>IE</w:t>
            </w:r>
            <w:r>
              <w:rPr>
                <w:lang w:val="en-GB"/>
              </w:rPr>
              <w:t>4</w:t>
            </w:r>
            <w:r w:rsidRPr="0083254F">
              <w:rPr>
                <w:lang w:val="en-GB"/>
              </w:rPr>
              <w:t>.</w:t>
            </w:r>
            <w:r w:rsidR="00E644B9">
              <w:rPr>
                <w:lang w:val="en-GB"/>
              </w:rPr>
              <w:t>2</w:t>
            </w:r>
          </w:p>
        </w:tc>
        <w:tc>
          <w:tcPr>
            <w:tcW w:w="6148" w:type="dxa"/>
          </w:tcPr>
          <w:p w14:paraId="783D7C07" w14:textId="7E199005" w:rsidR="004D56ED" w:rsidRPr="0083254F" w:rsidRDefault="004D56ED" w:rsidP="004D56ED">
            <w:pPr>
              <w:rPr>
                <w:lang w:val="en-GB"/>
              </w:rPr>
            </w:pPr>
            <w:r w:rsidRPr="0083254F">
              <w:rPr>
                <w:lang w:val="en-GB"/>
              </w:rPr>
              <w:t xml:space="preserve">Percentage of staff surveyed who rated UNCDF </w:t>
            </w:r>
            <w:r w:rsidR="0099634C" w:rsidRPr="0083254F">
              <w:rPr>
                <w:lang w:val="en-GB"/>
              </w:rPr>
              <w:t>favourably</w:t>
            </w:r>
            <w:r w:rsidRPr="0083254F">
              <w:rPr>
                <w:lang w:val="en-GB"/>
              </w:rPr>
              <w:t xml:space="preserve"> on Global Staff Survey, disaggregated by sex</w:t>
            </w:r>
            <w:r>
              <w:rPr>
                <w:lang w:val="en-GB"/>
              </w:rPr>
              <w:t>, in a) empowerment and b) engagement dimensions</w:t>
            </w:r>
          </w:p>
        </w:tc>
        <w:tc>
          <w:tcPr>
            <w:tcW w:w="1188" w:type="dxa"/>
          </w:tcPr>
          <w:p w14:paraId="69CC15C4" w14:textId="7D271B68" w:rsidR="004D56ED" w:rsidRDefault="004D56ED" w:rsidP="004D56ED">
            <w:pPr>
              <w:rPr>
                <w:lang w:val="en-GB"/>
              </w:rPr>
            </w:pPr>
            <w:r>
              <w:rPr>
                <w:lang w:val="en-GB"/>
              </w:rPr>
              <w:t>a)</w:t>
            </w:r>
            <w:r w:rsidR="0065552A">
              <w:rPr>
                <w:lang w:val="en-GB"/>
              </w:rPr>
              <w:t xml:space="preserve"> 54%</w:t>
            </w:r>
          </w:p>
          <w:p w14:paraId="556BE654" w14:textId="280A6036" w:rsidR="004D56ED" w:rsidRPr="0083254F" w:rsidRDefault="004D56ED" w:rsidP="004D56ED">
            <w:pPr>
              <w:rPr>
                <w:lang w:val="en-GB"/>
              </w:rPr>
            </w:pPr>
            <w:r>
              <w:rPr>
                <w:lang w:val="en-GB"/>
              </w:rPr>
              <w:t>b)</w:t>
            </w:r>
            <w:r w:rsidR="0065552A">
              <w:rPr>
                <w:lang w:val="en-GB"/>
              </w:rPr>
              <w:t xml:space="preserve"> 64%</w:t>
            </w:r>
          </w:p>
        </w:tc>
        <w:tc>
          <w:tcPr>
            <w:tcW w:w="1161" w:type="dxa"/>
          </w:tcPr>
          <w:p w14:paraId="27701476" w14:textId="27D49101" w:rsidR="004D56ED" w:rsidRDefault="004D56ED" w:rsidP="004D56ED">
            <w:pPr>
              <w:rPr>
                <w:lang w:val="en-GB"/>
              </w:rPr>
            </w:pPr>
            <w:r>
              <w:rPr>
                <w:lang w:val="en-GB"/>
              </w:rPr>
              <w:t>a)</w:t>
            </w:r>
            <w:r w:rsidR="0065552A">
              <w:rPr>
                <w:lang w:val="en-GB"/>
              </w:rPr>
              <w:t xml:space="preserve"> 75%</w:t>
            </w:r>
          </w:p>
          <w:p w14:paraId="11CDB495" w14:textId="413527B9" w:rsidR="004D56ED" w:rsidRPr="0083254F" w:rsidRDefault="004D56ED" w:rsidP="004D56ED">
            <w:pPr>
              <w:rPr>
                <w:lang w:val="en-GB"/>
              </w:rPr>
            </w:pPr>
            <w:r>
              <w:rPr>
                <w:lang w:val="en-GB"/>
              </w:rPr>
              <w:t>b)</w:t>
            </w:r>
            <w:r w:rsidR="0065552A">
              <w:rPr>
                <w:lang w:val="en-GB"/>
              </w:rPr>
              <w:t xml:space="preserve"> 75%</w:t>
            </w:r>
          </w:p>
        </w:tc>
        <w:tc>
          <w:tcPr>
            <w:tcW w:w="1161" w:type="dxa"/>
          </w:tcPr>
          <w:p w14:paraId="36DA07E4" w14:textId="77777777" w:rsidR="0065552A" w:rsidRDefault="0065552A" w:rsidP="0065552A">
            <w:pPr>
              <w:rPr>
                <w:lang w:val="en-GB"/>
              </w:rPr>
            </w:pPr>
            <w:r>
              <w:rPr>
                <w:lang w:val="en-GB"/>
              </w:rPr>
              <w:t>a) 75%</w:t>
            </w:r>
          </w:p>
          <w:p w14:paraId="5005B731" w14:textId="58534A13" w:rsidR="004D56ED" w:rsidRPr="0083254F" w:rsidRDefault="0065552A" w:rsidP="004D56ED">
            <w:pPr>
              <w:rPr>
                <w:lang w:val="en-GB"/>
              </w:rPr>
            </w:pPr>
            <w:r>
              <w:rPr>
                <w:lang w:val="en-GB"/>
              </w:rPr>
              <w:t>b) 75%</w:t>
            </w:r>
          </w:p>
        </w:tc>
        <w:tc>
          <w:tcPr>
            <w:tcW w:w="1161" w:type="dxa"/>
          </w:tcPr>
          <w:p w14:paraId="08BEB2E1" w14:textId="77777777" w:rsidR="0065552A" w:rsidRDefault="0065552A" w:rsidP="0065552A">
            <w:pPr>
              <w:rPr>
                <w:lang w:val="en-GB"/>
              </w:rPr>
            </w:pPr>
            <w:r>
              <w:rPr>
                <w:lang w:val="en-GB"/>
              </w:rPr>
              <w:t>a) 75%</w:t>
            </w:r>
          </w:p>
          <w:p w14:paraId="09865CA8" w14:textId="5546D80C" w:rsidR="004D56ED" w:rsidRPr="0083254F" w:rsidRDefault="0065552A" w:rsidP="004D56ED">
            <w:pPr>
              <w:rPr>
                <w:lang w:val="en-GB"/>
              </w:rPr>
            </w:pPr>
            <w:r>
              <w:rPr>
                <w:lang w:val="en-GB"/>
              </w:rPr>
              <w:t>b) 75%</w:t>
            </w:r>
          </w:p>
        </w:tc>
        <w:tc>
          <w:tcPr>
            <w:tcW w:w="1161" w:type="dxa"/>
          </w:tcPr>
          <w:p w14:paraId="333F6808" w14:textId="77777777" w:rsidR="0065552A" w:rsidRDefault="0065552A" w:rsidP="0065552A">
            <w:pPr>
              <w:rPr>
                <w:lang w:val="en-GB"/>
              </w:rPr>
            </w:pPr>
            <w:r>
              <w:rPr>
                <w:lang w:val="en-GB"/>
              </w:rPr>
              <w:t>a) 75%</w:t>
            </w:r>
          </w:p>
          <w:p w14:paraId="652E642F" w14:textId="052B2753" w:rsidR="004D56ED" w:rsidRPr="0083254F" w:rsidRDefault="0065552A" w:rsidP="004D56ED">
            <w:pPr>
              <w:rPr>
                <w:lang w:val="en-GB"/>
              </w:rPr>
            </w:pPr>
            <w:r>
              <w:rPr>
                <w:lang w:val="en-GB"/>
              </w:rPr>
              <w:t>b) 75%</w:t>
            </w:r>
          </w:p>
        </w:tc>
      </w:tr>
      <w:tr w:rsidR="004D56ED" w:rsidRPr="0083254F" w14:paraId="154CEE9A" w14:textId="77777777" w:rsidTr="003F7B4D">
        <w:tc>
          <w:tcPr>
            <w:tcW w:w="970" w:type="dxa"/>
            <w:vMerge/>
          </w:tcPr>
          <w:p w14:paraId="3645465C" w14:textId="77777777" w:rsidR="004D56ED" w:rsidRPr="0083254F" w:rsidRDefault="004D56ED" w:rsidP="004D56ED">
            <w:pPr>
              <w:rPr>
                <w:lang w:val="en-GB"/>
              </w:rPr>
            </w:pPr>
          </w:p>
        </w:tc>
        <w:tc>
          <w:tcPr>
            <w:tcW w:w="11980" w:type="dxa"/>
            <w:gridSpan w:val="6"/>
            <w:shd w:val="clear" w:color="auto" w:fill="D0CECE" w:themeFill="background2" w:themeFillShade="E6"/>
          </w:tcPr>
          <w:p w14:paraId="1AA90846" w14:textId="77777777" w:rsidR="004D56ED" w:rsidRPr="0083254F" w:rsidRDefault="004D56ED" w:rsidP="004D56ED">
            <w:pPr>
              <w:rPr>
                <w:lang w:val="en-GB"/>
              </w:rPr>
            </w:pPr>
            <w:r w:rsidRPr="0083254F">
              <w:rPr>
                <w:b/>
                <w:lang w:val="en-GB"/>
              </w:rPr>
              <w:t>Related UNCDF IRRM 2014-2017 indicator:</w:t>
            </w:r>
            <w:r w:rsidRPr="0083254F">
              <w:rPr>
                <w:lang w:val="en-GB"/>
              </w:rPr>
              <w:t xml:space="preserve"> Institutional Effectiveness indicators 1.4.2</w:t>
            </w:r>
            <w:r>
              <w:rPr>
                <w:lang w:val="en-GB"/>
              </w:rPr>
              <w:t xml:space="preserve"> and 1.4.3</w:t>
            </w:r>
          </w:p>
          <w:p w14:paraId="61AF1887" w14:textId="77777777" w:rsidR="004D56ED" w:rsidRPr="0083254F" w:rsidRDefault="004D56ED" w:rsidP="004D56ED">
            <w:pPr>
              <w:rPr>
                <w:lang w:val="en-GB"/>
              </w:rPr>
            </w:pPr>
            <w:r w:rsidRPr="0083254F">
              <w:rPr>
                <w:b/>
                <w:lang w:val="en-GB"/>
              </w:rPr>
              <w:t>Data source:</w:t>
            </w:r>
            <w:r w:rsidRPr="0083254F">
              <w:rPr>
                <w:lang w:val="en-GB"/>
              </w:rPr>
              <w:t xml:space="preserve"> HQ Management Support unit (Global Staff Survey results)</w:t>
            </w:r>
          </w:p>
        </w:tc>
      </w:tr>
    </w:tbl>
    <w:p w14:paraId="7C71C914" w14:textId="6508003E" w:rsidR="002A33DD" w:rsidRDefault="002A33DD" w:rsidP="00D70690">
      <w:pPr>
        <w:spacing w:after="0" w:line="240" w:lineRule="auto"/>
        <w:rPr>
          <w:lang w:val="en-GB"/>
        </w:rPr>
      </w:pPr>
    </w:p>
    <w:p w14:paraId="7EFE36B7" w14:textId="77777777" w:rsidR="0005016A" w:rsidRDefault="0005016A" w:rsidP="00D70690">
      <w:pPr>
        <w:spacing w:after="0" w:line="240" w:lineRule="auto"/>
        <w:rPr>
          <w:lang w:val="en-GB"/>
        </w:rPr>
      </w:pPr>
    </w:p>
    <w:tbl>
      <w:tblPr>
        <w:tblStyle w:val="TableGrid"/>
        <w:tblW w:w="0" w:type="auto"/>
        <w:tblCellMar>
          <w:left w:w="43" w:type="dxa"/>
          <w:right w:w="43" w:type="dxa"/>
        </w:tblCellMar>
        <w:tblLook w:val="04A0" w:firstRow="1" w:lastRow="0" w:firstColumn="1" w:lastColumn="0" w:noHBand="0" w:noVBand="1"/>
      </w:tblPr>
      <w:tblGrid>
        <w:gridCol w:w="969"/>
        <w:gridCol w:w="5904"/>
        <w:gridCol w:w="1225"/>
        <w:gridCol w:w="1213"/>
        <w:gridCol w:w="1213"/>
        <w:gridCol w:w="1213"/>
        <w:gridCol w:w="1213"/>
      </w:tblGrid>
      <w:tr w:rsidR="002A33DD" w:rsidRPr="0083254F" w14:paraId="7F0E269F" w14:textId="77777777" w:rsidTr="00AF42EE">
        <w:tc>
          <w:tcPr>
            <w:tcW w:w="12950" w:type="dxa"/>
            <w:gridSpan w:val="7"/>
            <w:shd w:val="clear" w:color="auto" w:fill="BDD6EE" w:themeFill="accent5" w:themeFillTint="66"/>
            <w:vAlign w:val="center"/>
          </w:tcPr>
          <w:p w14:paraId="343C0EBD" w14:textId="35B6FCD7" w:rsidR="002A33DD" w:rsidRPr="0083254F" w:rsidRDefault="002A33DD" w:rsidP="00AF42EE">
            <w:pPr>
              <w:rPr>
                <w:lang w:val="en-GB"/>
              </w:rPr>
            </w:pPr>
            <w:r w:rsidRPr="0083254F">
              <w:rPr>
                <w:b/>
                <w:sz w:val="24"/>
                <w:szCs w:val="24"/>
                <w:lang w:val="en-GB"/>
              </w:rPr>
              <w:t xml:space="preserve">Institutional Enabler </w:t>
            </w:r>
            <w:r w:rsidR="008414CD">
              <w:rPr>
                <w:b/>
                <w:sz w:val="24"/>
                <w:szCs w:val="24"/>
                <w:lang w:val="en-GB"/>
              </w:rPr>
              <w:t>5</w:t>
            </w:r>
            <w:r w:rsidRPr="0083254F">
              <w:rPr>
                <w:b/>
                <w:sz w:val="24"/>
                <w:szCs w:val="24"/>
                <w:lang w:val="en-GB"/>
              </w:rPr>
              <w:t xml:space="preserve">: Knowledge, </w:t>
            </w:r>
            <w:r>
              <w:rPr>
                <w:b/>
                <w:sz w:val="24"/>
                <w:szCs w:val="24"/>
                <w:lang w:val="en-GB"/>
              </w:rPr>
              <w:t>communication</w:t>
            </w:r>
            <w:r w:rsidR="00F3701B">
              <w:rPr>
                <w:b/>
                <w:sz w:val="24"/>
                <w:szCs w:val="24"/>
                <w:lang w:val="en-GB"/>
              </w:rPr>
              <w:t>,</w:t>
            </w:r>
            <w:r>
              <w:rPr>
                <w:b/>
                <w:sz w:val="24"/>
                <w:szCs w:val="24"/>
                <w:lang w:val="en-GB"/>
              </w:rPr>
              <w:t xml:space="preserve"> and advocacy </w:t>
            </w:r>
          </w:p>
        </w:tc>
      </w:tr>
      <w:tr w:rsidR="002A33DD" w:rsidRPr="0083254F" w14:paraId="5F856AC5" w14:textId="77777777" w:rsidTr="00F06B13">
        <w:tc>
          <w:tcPr>
            <w:tcW w:w="6873" w:type="dxa"/>
            <w:gridSpan w:val="2"/>
            <w:shd w:val="clear" w:color="auto" w:fill="F2F2F2" w:themeFill="background1" w:themeFillShade="F2"/>
          </w:tcPr>
          <w:p w14:paraId="5CECAA48" w14:textId="77777777" w:rsidR="002A33DD" w:rsidRPr="0083254F" w:rsidRDefault="002A33DD" w:rsidP="00AF42EE">
            <w:pPr>
              <w:rPr>
                <w:lang w:val="en-GB"/>
              </w:rPr>
            </w:pPr>
            <w:r>
              <w:rPr>
                <w:b/>
                <w:lang w:val="en-GB"/>
              </w:rPr>
              <w:t xml:space="preserve">Institutional Effectiveness </w:t>
            </w:r>
            <w:r w:rsidRPr="0083254F">
              <w:rPr>
                <w:b/>
                <w:lang w:val="en-GB"/>
              </w:rPr>
              <w:t>indicators</w:t>
            </w:r>
          </w:p>
        </w:tc>
        <w:tc>
          <w:tcPr>
            <w:tcW w:w="1225" w:type="dxa"/>
            <w:shd w:val="clear" w:color="auto" w:fill="F2F2F2" w:themeFill="background1" w:themeFillShade="F2"/>
          </w:tcPr>
          <w:p w14:paraId="7E4D6432" w14:textId="77777777" w:rsidR="002A33DD" w:rsidRPr="0083254F" w:rsidRDefault="002A33DD" w:rsidP="00AF42EE">
            <w:pPr>
              <w:rPr>
                <w:lang w:val="en-GB"/>
              </w:rPr>
            </w:pPr>
            <w:r w:rsidRPr="0083254F">
              <w:rPr>
                <w:b/>
                <w:lang w:val="en-GB"/>
              </w:rPr>
              <w:t>Baseline</w:t>
            </w:r>
          </w:p>
        </w:tc>
        <w:tc>
          <w:tcPr>
            <w:tcW w:w="1213" w:type="dxa"/>
            <w:shd w:val="clear" w:color="auto" w:fill="F2F2F2" w:themeFill="background1" w:themeFillShade="F2"/>
          </w:tcPr>
          <w:p w14:paraId="7A09BC69" w14:textId="77777777" w:rsidR="002A33DD" w:rsidRPr="0083254F" w:rsidRDefault="002A33DD" w:rsidP="00AF42EE">
            <w:pPr>
              <w:rPr>
                <w:lang w:val="en-GB"/>
              </w:rPr>
            </w:pPr>
            <w:r w:rsidRPr="0083254F">
              <w:rPr>
                <w:b/>
                <w:lang w:val="en-GB"/>
              </w:rPr>
              <w:t>2018 Target</w:t>
            </w:r>
          </w:p>
        </w:tc>
        <w:tc>
          <w:tcPr>
            <w:tcW w:w="1213" w:type="dxa"/>
            <w:shd w:val="clear" w:color="auto" w:fill="F2F2F2" w:themeFill="background1" w:themeFillShade="F2"/>
          </w:tcPr>
          <w:p w14:paraId="628DF7DC" w14:textId="77777777" w:rsidR="002A33DD" w:rsidRPr="0083254F" w:rsidRDefault="002A33DD" w:rsidP="00AF42EE">
            <w:pPr>
              <w:rPr>
                <w:lang w:val="en-GB"/>
              </w:rPr>
            </w:pPr>
            <w:r w:rsidRPr="0083254F">
              <w:rPr>
                <w:b/>
                <w:lang w:val="en-GB"/>
              </w:rPr>
              <w:t>2019 Target</w:t>
            </w:r>
          </w:p>
        </w:tc>
        <w:tc>
          <w:tcPr>
            <w:tcW w:w="1213" w:type="dxa"/>
            <w:shd w:val="clear" w:color="auto" w:fill="F2F2F2" w:themeFill="background1" w:themeFillShade="F2"/>
          </w:tcPr>
          <w:p w14:paraId="7B6AAC87" w14:textId="77777777" w:rsidR="002A33DD" w:rsidRPr="0083254F" w:rsidRDefault="002A33DD" w:rsidP="00AF42EE">
            <w:pPr>
              <w:rPr>
                <w:lang w:val="en-GB"/>
              </w:rPr>
            </w:pPr>
            <w:r w:rsidRPr="0083254F">
              <w:rPr>
                <w:b/>
                <w:lang w:val="en-GB"/>
              </w:rPr>
              <w:t>2020 Target</w:t>
            </w:r>
          </w:p>
        </w:tc>
        <w:tc>
          <w:tcPr>
            <w:tcW w:w="1213" w:type="dxa"/>
            <w:shd w:val="clear" w:color="auto" w:fill="F2F2F2" w:themeFill="background1" w:themeFillShade="F2"/>
          </w:tcPr>
          <w:p w14:paraId="4669AFAD" w14:textId="77777777" w:rsidR="002A33DD" w:rsidRPr="0083254F" w:rsidRDefault="002A33DD" w:rsidP="00AF42EE">
            <w:pPr>
              <w:rPr>
                <w:lang w:val="en-GB"/>
              </w:rPr>
            </w:pPr>
            <w:r w:rsidRPr="0083254F">
              <w:rPr>
                <w:b/>
                <w:lang w:val="en-GB"/>
              </w:rPr>
              <w:t>2021 Target</w:t>
            </w:r>
          </w:p>
        </w:tc>
      </w:tr>
      <w:tr w:rsidR="002A33DD" w:rsidRPr="0083254F" w14:paraId="38CDA638" w14:textId="77777777" w:rsidTr="00F06B13">
        <w:tc>
          <w:tcPr>
            <w:tcW w:w="969" w:type="dxa"/>
            <w:vMerge w:val="restart"/>
          </w:tcPr>
          <w:p w14:paraId="1C5DE920" w14:textId="77777777" w:rsidR="002A33DD" w:rsidRPr="0083254F" w:rsidRDefault="002A33DD" w:rsidP="00AF42EE">
            <w:pPr>
              <w:rPr>
                <w:lang w:val="en-GB"/>
              </w:rPr>
            </w:pPr>
            <w:r w:rsidRPr="0083254F">
              <w:rPr>
                <w:lang w:val="en-GB"/>
              </w:rPr>
              <w:t>IE</w:t>
            </w:r>
            <w:r w:rsidR="008414CD">
              <w:rPr>
                <w:lang w:val="en-GB"/>
              </w:rPr>
              <w:t>5</w:t>
            </w:r>
            <w:r w:rsidRPr="0083254F">
              <w:rPr>
                <w:lang w:val="en-GB"/>
              </w:rPr>
              <w:t>.1</w:t>
            </w:r>
          </w:p>
        </w:tc>
        <w:tc>
          <w:tcPr>
            <w:tcW w:w="5904" w:type="dxa"/>
          </w:tcPr>
          <w:p w14:paraId="59C53722" w14:textId="480E82AC" w:rsidR="002A33DD" w:rsidRPr="0083254F" w:rsidRDefault="002A33DD" w:rsidP="00AF42EE">
            <w:pPr>
              <w:rPr>
                <w:lang w:val="en-GB"/>
              </w:rPr>
            </w:pPr>
            <w:r w:rsidRPr="0083254F">
              <w:rPr>
                <w:lang w:val="en-GB"/>
              </w:rPr>
              <w:t xml:space="preserve">Number of </w:t>
            </w:r>
            <w:r w:rsidR="00F868B9">
              <w:rPr>
                <w:lang w:val="en-GB"/>
              </w:rPr>
              <w:t xml:space="preserve">monthly unique visitors to </w:t>
            </w:r>
            <w:r w:rsidR="00F53279">
              <w:rPr>
                <w:lang w:val="en-GB"/>
              </w:rPr>
              <w:t>public external website</w:t>
            </w:r>
          </w:p>
        </w:tc>
        <w:tc>
          <w:tcPr>
            <w:tcW w:w="1225" w:type="dxa"/>
          </w:tcPr>
          <w:p w14:paraId="7DE0EA44" w14:textId="28F25417" w:rsidR="002A33DD" w:rsidRPr="0083254F" w:rsidRDefault="0065552A" w:rsidP="00AF42EE">
            <w:pPr>
              <w:rPr>
                <w:lang w:val="en-GB"/>
              </w:rPr>
            </w:pPr>
            <w:r>
              <w:rPr>
                <w:lang w:val="en-GB"/>
              </w:rPr>
              <w:t>8,918</w:t>
            </w:r>
          </w:p>
        </w:tc>
        <w:tc>
          <w:tcPr>
            <w:tcW w:w="1213" w:type="dxa"/>
          </w:tcPr>
          <w:p w14:paraId="38882784" w14:textId="31E70610" w:rsidR="002A33DD" w:rsidRPr="0083254F" w:rsidRDefault="0065552A" w:rsidP="00AF42EE">
            <w:pPr>
              <w:rPr>
                <w:lang w:val="en-GB"/>
              </w:rPr>
            </w:pPr>
            <w:r>
              <w:rPr>
                <w:lang w:val="en-GB"/>
              </w:rPr>
              <w:t>10,000</w:t>
            </w:r>
          </w:p>
        </w:tc>
        <w:tc>
          <w:tcPr>
            <w:tcW w:w="1213" w:type="dxa"/>
          </w:tcPr>
          <w:p w14:paraId="5A60D3AF" w14:textId="48012761" w:rsidR="002A33DD" w:rsidRPr="0083254F" w:rsidRDefault="0065552A" w:rsidP="00AF42EE">
            <w:pPr>
              <w:rPr>
                <w:lang w:val="en-GB"/>
              </w:rPr>
            </w:pPr>
            <w:r>
              <w:rPr>
                <w:lang w:val="en-GB"/>
              </w:rPr>
              <w:t>11,000</w:t>
            </w:r>
          </w:p>
        </w:tc>
        <w:tc>
          <w:tcPr>
            <w:tcW w:w="1213" w:type="dxa"/>
          </w:tcPr>
          <w:p w14:paraId="4FA5CD85" w14:textId="125DCEFF" w:rsidR="002A33DD" w:rsidRPr="0083254F" w:rsidRDefault="0065552A" w:rsidP="00AF42EE">
            <w:pPr>
              <w:rPr>
                <w:lang w:val="en-GB"/>
              </w:rPr>
            </w:pPr>
            <w:r>
              <w:rPr>
                <w:lang w:val="en-GB"/>
              </w:rPr>
              <w:t>12,000</w:t>
            </w:r>
          </w:p>
        </w:tc>
        <w:tc>
          <w:tcPr>
            <w:tcW w:w="1213" w:type="dxa"/>
          </w:tcPr>
          <w:p w14:paraId="26CA4534" w14:textId="491FEB6A" w:rsidR="002A33DD" w:rsidRPr="0083254F" w:rsidRDefault="0065552A" w:rsidP="00AF42EE">
            <w:pPr>
              <w:rPr>
                <w:lang w:val="en-GB"/>
              </w:rPr>
            </w:pPr>
            <w:r>
              <w:rPr>
                <w:lang w:val="en-GB"/>
              </w:rPr>
              <w:t>13,000</w:t>
            </w:r>
          </w:p>
        </w:tc>
      </w:tr>
      <w:tr w:rsidR="002A33DD" w:rsidRPr="0083254F" w14:paraId="0535C3FD" w14:textId="77777777" w:rsidTr="00F06B13">
        <w:tc>
          <w:tcPr>
            <w:tcW w:w="969" w:type="dxa"/>
            <w:vMerge/>
          </w:tcPr>
          <w:p w14:paraId="446E9360" w14:textId="77777777" w:rsidR="002A33DD" w:rsidRPr="0083254F" w:rsidRDefault="002A33DD" w:rsidP="00AF42EE">
            <w:pPr>
              <w:rPr>
                <w:lang w:val="en-GB"/>
              </w:rPr>
            </w:pPr>
          </w:p>
        </w:tc>
        <w:tc>
          <w:tcPr>
            <w:tcW w:w="11981" w:type="dxa"/>
            <w:gridSpan w:val="6"/>
            <w:shd w:val="clear" w:color="auto" w:fill="D0CECE" w:themeFill="background2" w:themeFillShade="E6"/>
          </w:tcPr>
          <w:p w14:paraId="6118AC54" w14:textId="7959A9AD" w:rsidR="002A33DD" w:rsidRPr="0083254F" w:rsidRDefault="002A33DD" w:rsidP="00AF42EE">
            <w:pPr>
              <w:rPr>
                <w:lang w:val="en-GB"/>
              </w:rPr>
            </w:pPr>
            <w:r w:rsidRPr="0083254F">
              <w:rPr>
                <w:b/>
                <w:lang w:val="en-GB"/>
              </w:rPr>
              <w:t>Related UNCDF IRRM 2014-2017 indicator:</w:t>
            </w:r>
            <w:r w:rsidRPr="0083254F">
              <w:rPr>
                <w:lang w:val="en-GB"/>
              </w:rPr>
              <w:t xml:space="preserve"> Institutional Effectiveness indicator 1.6.</w:t>
            </w:r>
            <w:r w:rsidR="00F53279">
              <w:rPr>
                <w:lang w:val="en-GB"/>
              </w:rPr>
              <w:t>1.</w:t>
            </w:r>
          </w:p>
          <w:p w14:paraId="0A980649" w14:textId="77777777" w:rsidR="002A33DD" w:rsidRPr="0083254F" w:rsidRDefault="002A33DD" w:rsidP="00AF42EE">
            <w:pPr>
              <w:rPr>
                <w:lang w:val="en-GB"/>
              </w:rPr>
            </w:pPr>
            <w:r w:rsidRPr="0083254F">
              <w:rPr>
                <w:b/>
                <w:lang w:val="en-GB"/>
              </w:rPr>
              <w:t>Data source:</w:t>
            </w:r>
            <w:r w:rsidRPr="0083254F">
              <w:rPr>
                <w:lang w:val="en-GB"/>
              </w:rPr>
              <w:t xml:space="preserve"> HQ Partnership, Policy and Communication unit</w:t>
            </w:r>
          </w:p>
        </w:tc>
      </w:tr>
      <w:tr w:rsidR="00F53279" w:rsidRPr="0083254F" w14:paraId="45AAA76A" w14:textId="77777777" w:rsidTr="00F06B13">
        <w:tc>
          <w:tcPr>
            <w:tcW w:w="969" w:type="dxa"/>
            <w:vMerge w:val="restart"/>
          </w:tcPr>
          <w:p w14:paraId="7AAC6D7D" w14:textId="77777777" w:rsidR="00F53279" w:rsidRPr="0083254F" w:rsidRDefault="00F53279" w:rsidP="00F53279">
            <w:pPr>
              <w:rPr>
                <w:lang w:val="en-GB"/>
              </w:rPr>
            </w:pPr>
            <w:r w:rsidRPr="0083254F">
              <w:rPr>
                <w:lang w:val="en-GB"/>
              </w:rPr>
              <w:t>IE</w:t>
            </w:r>
            <w:r>
              <w:rPr>
                <w:lang w:val="en-GB"/>
              </w:rPr>
              <w:t>5</w:t>
            </w:r>
            <w:r w:rsidRPr="0083254F">
              <w:rPr>
                <w:lang w:val="en-GB"/>
              </w:rPr>
              <w:t>.2</w:t>
            </w:r>
          </w:p>
        </w:tc>
        <w:tc>
          <w:tcPr>
            <w:tcW w:w="5904" w:type="dxa"/>
          </w:tcPr>
          <w:p w14:paraId="43F15789" w14:textId="506044E6" w:rsidR="00F53279" w:rsidRPr="0083254F" w:rsidRDefault="00BA20F8" w:rsidP="00F53279">
            <w:pPr>
              <w:rPr>
                <w:lang w:val="en-GB"/>
              </w:rPr>
            </w:pPr>
            <w:r>
              <w:rPr>
                <w:lang w:val="en-GB"/>
              </w:rPr>
              <w:t xml:space="preserve"> </w:t>
            </w:r>
            <w:r w:rsidRPr="0083254F">
              <w:rPr>
                <w:lang w:val="en-GB"/>
              </w:rPr>
              <w:t>Number of people engaged with UNCDF social media platforms</w:t>
            </w:r>
          </w:p>
        </w:tc>
        <w:tc>
          <w:tcPr>
            <w:tcW w:w="1225" w:type="dxa"/>
          </w:tcPr>
          <w:p w14:paraId="1CB7F7D1" w14:textId="1DB05A26" w:rsidR="00F53279" w:rsidRPr="0083254F" w:rsidRDefault="0065552A" w:rsidP="00F53279">
            <w:pPr>
              <w:rPr>
                <w:lang w:val="en-GB"/>
              </w:rPr>
            </w:pPr>
            <w:r>
              <w:rPr>
                <w:lang w:val="en-GB"/>
              </w:rPr>
              <w:t>136,200</w:t>
            </w:r>
          </w:p>
        </w:tc>
        <w:tc>
          <w:tcPr>
            <w:tcW w:w="1213" w:type="dxa"/>
          </w:tcPr>
          <w:p w14:paraId="58AAC69F" w14:textId="6D31932F" w:rsidR="00F53279" w:rsidRPr="0083254F" w:rsidRDefault="0065552A" w:rsidP="00F53279">
            <w:pPr>
              <w:rPr>
                <w:lang w:val="en-GB"/>
              </w:rPr>
            </w:pPr>
            <w:r>
              <w:rPr>
                <w:lang w:val="en-GB"/>
              </w:rPr>
              <w:t>160,000</w:t>
            </w:r>
          </w:p>
        </w:tc>
        <w:tc>
          <w:tcPr>
            <w:tcW w:w="1213" w:type="dxa"/>
          </w:tcPr>
          <w:p w14:paraId="2A92965B" w14:textId="5D03CC34" w:rsidR="00F53279" w:rsidRPr="0083254F" w:rsidRDefault="0065552A" w:rsidP="00F53279">
            <w:pPr>
              <w:rPr>
                <w:lang w:val="en-GB"/>
              </w:rPr>
            </w:pPr>
            <w:r>
              <w:rPr>
                <w:lang w:val="en-GB"/>
              </w:rPr>
              <w:t>175,000</w:t>
            </w:r>
          </w:p>
        </w:tc>
        <w:tc>
          <w:tcPr>
            <w:tcW w:w="1213" w:type="dxa"/>
          </w:tcPr>
          <w:p w14:paraId="549EFDAB" w14:textId="49DD44DC" w:rsidR="00F53279" w:rsidRPr="0083254F" w:rsidRDefault="0065552A" w:rsidP="00F53279">
            <w:pPr>
              <w:rPr>
                <w:lang w:val="en-GB"/>
              </w:rPr>
            </w:pPr>
            <w:r>
              <w:rPr>
                <w:lang w:val="en-GB"/>
              </w:rPr>
              <w:t>190,000</w:t>
            </w:r>
          </w:p>
        </w:tc>
        <w:tc>
          <w:tcPr>
            <w:tcW w:w="1213" w:type="dxa"/>
          </w:tcPr>
          <w:p w14:paraId="72767670" w14:textId="7F3F7922" w:rsidR="00F53279" w:rsidRPr="0083254F" w:rsidRDefault="0065552A" w:rsidP="00F53279">
            <w:pPr>
              <w:rPr>
                <w:lang w:val="en-GB"/>
              </w:rPr>
            </w:pPr>
            <w:r>
              <w:rPr>
                <w:lang w:val="en-GB"/>
              </w:rPr>
              <w:t>200,000</w:t>
            </w:r>
          </w:p>
        </w:tc>
      </w:tr>
      <w:tr w:rsidR="00F53279" w:rsidRPr="0083254F" w14:paraId="09ED802C" w14:textId="77777777" w:rsidTr="00F06B13">
        <w:tc>
          <w:tcPr>
            <w:tcW w:w="969" w:type="dxa"/>
            <w:vMerge/>
          </w:tcPr>
          <w:p w14:paraId="3EE569BF" w14:textId="77777777" w:rsidR="00F53279" w:rsidRPr="0083254F" w:rsidRDefault="00F53279" w:rsidP="00F53279">
            <w:pPr>
              <w:rPr>
                <w:lang w:val="en-GB"/>
              </w:rPr>
            </w:pPr>
          </w:p>
        </w:tc>
        <w:tc>
          <w:tcPr>
            <w:tcW w:w="11981" w:type="dxa"/>
            <w:gridSpan w:val="6"/>
            <w:shd w:val="clear" w:color="auto" w:fill="D0CECE" w:themeFill="background2" w:themeFillShade="E6"/>
          </w:tcPr>
          <w:p w14:paraId="02168EDF" w14:textId="77777777" w:rsidR="00F53279" w:rsidRPr="0083254F" w:rsidRDefault="00F53279" w:rsidP="00F53279">
            <w:pPr>
              <w:rPr>
                <w:lang w:val="en-GB"/>
              </w:rPr>
            </w:pPr>
            <w:r w:rsidRPr="0083254F">
              <w:rPr>
                <w:b/>
                <w:lang w:val="en-GB"/>
              </w:rPr>
              <w:t>Related UNCDF IRRM 2014-2017 indicator:</w:t>
            </w:r>
            <w:r w:rsidRPr="0083254F">
              <w:rPr>
                <w:lang w:val="en-GB"/>
              </w:rPr>
              <w:t xml:space="preserve"> Amended from Institutional Effectiveness indicator 1.6.2, 1.6.3, and 1.6.4</w:t>
            </w:r>
            <w:r w:rsidR="00BA20F8">
              <w:rPr>
                <w:lang w:val="en-GB"/>
              </w:rPr>
              <w:t>.</w:t>
            </w:r>
          </w:p>
          <w:p w14:paraId="0D4ACED5" w14:textId="79872116" w:rsidR="00F53279" w:rsidRPr="0083254F" w:rsidRDefault="00F53279" w:rsidP="00F53279">
            <w:pPr>
              <w:rPr>
                <w:lang w:val="en-GB"/>
              </w:rPr>
            </w:pPr>
            <w:r w:rsidRPr="0083254F">
              <w:rPr>
                <w:b/>
                <w:lang w:val="en-GB"/>
              </w:rPr>
              <w:t>Data source:</w:t>
            </w:r>
            <w:r w:rsidRPr="0083254F">
              <w:rPr>
                <w:lang w:val="en-GB"/>
              </w:rPr>
              <w:t xml:space="preserve"> HQ Partnership, Policy and Communication unit</w:t>
            </w:r>
          </w:p>
        </w:tc>
      </w:tr>
      <w:tr w:rsidR="00F06B13" w:rsidRPr="0083254F" w14:paraId="00B3732C" w14:textId="77777777" w:rsidTr="00F06B13">
        <w:tc>
          <w:tcPr>
            <w:tcW w:w="969" w:type="dxa"/>
            <w:vMerge w:val="restart"/>
          </w:tcPr>
          <w:p w14:paraId="7F3DC5A9" w14:textId="1E041DDB" w:rsidR="00F06B13" w:rsidRPr="0083254F" w:rsidRDefault="00F06B13" w:rsidP="00F06B13">
            <w:pPr>
              <w:rPr>
                <w:lang w:val="en-GB"/>
              </w:rPr>
            </w:pPr>
            <w:bookmarkStart w:id="7" w:name="_Hlk498696249"/>
            <w:r w:rsidRPr="0083254F">
              <w:rPr>
                <w:lang w:val="en-GB"/>
              </w:rPr>
              <w:t>IE</w:t>
            </w:r>
            <w:r>
              <w:rPr>
                <w:lang w:val="en-GB"/>
              </w:rPr>
              <w:t>5.</w:t>
            </w:r>
            <w:r w:rsidR="0083436F">
              <w:rPr>
                <w:lang w:val="en-GB"/>
              </w:rPr>
              <w:t>3</w:t>
            </w:r>
          </w:p>
          <w:p w14:paraId="7FD4DBC0" w14:textId="77777777" w:rsidR="00F06B13" w:rsidRPr="0083254F" w:rsidRDefault="00F06B13" w:rsidP="00F06B13">
            <w:pPr>
              <w:rPr>
                <w:lang w:val="en-GB"/>
              </w:rPr>
            </w:pPr>
          </w:p>
        </w:tc>
        <w:tc>
          <w:tcPr>
            <w:tcW w:w="5904" w:type="dxa"/>
          </w:tcPr>
          <w:p w14:paraId="23FF6297" w14:textId="7AF6358F" w:rsidR="00F06B13" w:rsidRPr="0083254F" w:rsidRDefault="00644ABE" w:rsidP="00F06B13">
            <w:pPr>
              <w:rPr>
                <w:lang w:val="en-GB"/>
              </w:rPr>
            </w:pPr>
            <w:r>
              <w:rPr>
                <w:lang w:val="en-GB"/>
              </w:rPr>
              <w:t xml:space="preserve">Contribution to the wider UN system efforts on addressing global agendas including the 2030 Agenda, the Addis Ababa Action Agenda, the Istanbul Programme on Action, the Paris Agreement on climate change, the New Urban Agenda, and QCPR follow-up. </w:t>
            </w:r>
          </w:p>
        </w:tc>
        <w:tc>
          <w:tcPr>
            <w:tcW w:w="1225" w:type="dxa"/>
          </w:tcPr>
          <w:p w14:paraId="17760EDA" w14:textId="3AA802C0" w:rsidR="00F06B13" w:rsidRPr="00B56D94" w:rsidRDefault="00E333F7" w:rsidP="00F06B13">
            <w:pPr>
              <w:rPr>
                <w:sz w:val="20"/>
                <w:szCs w:val="20"/>
                <w:lang w:val="en-GB"/>
              </w:rPr>
            </w:pPr>
            <w:r>
              <w:rPr>
                <w:sz w:val="20"/>
                <w:szCs w:val="20"/>
                <w:lang w:val="en-GB"/>
              </w:rPr>
              <w:t>Contributed to the drafting of the New Urban Agenda and the Istanbul Programme of Action.</w:t>
            </w:r>
          </w:p>
        </w:tc>
        <w:tc>
          <w:tcPr>
            <w:tcW w:w="1213" w:type="dxa"/>
          </w:tcPr>
          <w:p w14:paraId="27248C6D" w14:textId="115811E2" w:rsidR="00F06B13" w:rsidRPr="00B56D94" w:rsidRDefault="00BB3ED4" w:rsidP="00F06B13">
            <w:pPr>
              <w:rPr>
                <w:sz w:val="20"/>
                <w:szCs w:val="20"/>
                <w:lang w:val="en-GB"/>
              </w:rPr>
            </w:pPr>
            <w:r>
              <w:rPr>
                <w:sz w:val="20"/>
                <w:szCs w:val="20"/>
                <w:lang w:val="en-GB"/>
              </w:rPr>
              <w:t xml:space="preserve">Contributed to QCPR follow up; FfD Forum (IATF report and SDG11 focus); HLPF (support VNRs, background papers, side events); UNDG efforts on leave no one behind, and around funding and finance; SG report on and follow up to IPoA; MAPS </w:t>
            </w:r>
            <w:r>
              <w:rPr>
                <w:sz w:val="20"/>
                <w:szCs w:val="20"/>
                <w:lang w:val="en-GB"/>
              </w:rPr>
              <w:lastRenderedPageBreak/>
              <w:t>missions as relevant; SG’s financing summit; COP24.</w:t>
            </w:r>
          </w:p>
        </w:tc>
        <w:tc>
          <w:tcPr>
            <w:tcW w:w="1213" w:type="dxa"/>
          </w:tcPr>
          <w:p w14:paraId="402BF329" w14:textId="48610AD3" w:rsidR="00F06B13" w:rsidRPr="00B56D94" w:rsidRDefault="00BB3ED4" w:rsidP="00F06B13">
            <w:pPr>
              <w:rPr>
                <w:sz w:val="20"/>
                <w:szCs w:val="20"/>
                <w:lang w:val="en-GB"/>
              </w:rPr>
            </w:pPr>
            <w:r>
              <w:rPr>
                <w:sz w:val="20"/>
                <w:szCs w:val="20"/>
                <w:lang w:val="en-GB"/>
              </w:rPr>
              <w:lastRenderedPageBreak/>
              <w:t xml:space="preserve">Contributed to FfD Forum (IATF report and thematic chapters); HLPF (support VNRs, background papers, side events); UNDG efforts on leaving no one behind, around funding and finance; SG report on and follow up to IPoA;MAPS missions as </w:t>
            </w:r>
            <w:r>
              <w:rPr>
                <w:sz w:val="20"/>
                <w:szCs w:val="20"/>
                <w:lang w:val="en-GB"/>
              </w:rPr>
              <w:lastRenderedPageBreak/>
              <w:t>relevant; COP25.</w:t>
            </w:r>
          </w:p>
        </w:tc>
        <w:tc>
          <w:tcPr>
            <w:tcW w:w="1213" w:type="dxa"/>
          </w:tcPr>
          <w:p w14:paraId="492382A6" w14:textId="77777777" w:rsidR="00BB3ED4" w:rsidRDefault="00BB3ED4" w:rsidP="00BB3ED4">
            <w:pPr>
              <w:rPr>
                <w:sz w:val="20"/>
                <w:szCs w:val="20"/>
                <w:lang w:val="en-GB"/>
              </w:rPr>
            </w:pPr>
            <w:r>
              <w:rPr>
                <w:sz w:val="20"/>
                <w:szCs w:val="20"/>
                <w:lang w:val="en-GB"/>
              </w:rPr>
              <w:lastRenderedPageBreak/>
              <w:t xml:space="preserve">Contributed to articulation of successor to the Istanbul Programme of Action; FfD Forum (IATF report); HLPF (support VNRs, background papers, side events); UNDG efforts on leaving no one behind and around funding and finance; </w:t>
            </w:r>
            <w:r>
              <w:rPr>
                <w:sz w:val="20"/>
                <w:szCs w:val="20"/>
                <w:lang w:val="en-GB"/>
              </w:rPr>
              <w:lastRenderedPageBreak/>
              <w:t>COP26.</w:t>
            </w:r>
          </w:p>
          <w:p w14:paraId="711C4342" w14:textId="27E376D1" w:rsidR="00F06B13" w:rsidRPr="00B56D94" w:rsidRDefault="00F06B13" w:rsidP="00F06B13">
            <w:pPr>
              <w:rPr>
                <w:sz w:val="20"/>
                <w:szCs w:val="20"/>
                <w:lang w:val="en-GB"/>
              </w:rPr>
            </w:pPr>
          </w:p>
        </w:tc>
        <w:tc>
          <w:tcPr>
            <w:tcW w:w="1213" w:type="dxa"/>
          </w:tcPr>
          <w:p w14:paraId="0862102E" w14:textId="77777777" w:rsidR="00BB3ED4" w:rsidRDefault="00BB3ED4" w:rsidP="00BB3ED4">
            <w:pPr>
              <w:rPr>
                <w:sz w:val="20"/>
                <w:szCs w:val="20"/>
                <w:lang w:val="en-GB"/>
              </w:rPr>
            </w:pPr>
            <w:r>
              <w:rPr>
                <w:sz w:val="20"/>
                <w:szCs w:val="20"/>
                <w:lang w:val="en-GB"/>
              </w:rPr>
              <w:lastRenderedPageBreak/>
              <w:t>Contributed to FfD Fofurm (IATF report); HLPF (support VNRs, background papers, side events); UNDG effort on leave no one behind, funding and finance; COP27.</w:t>
            </w:r>
          </w:p>
          <w:p w14:paraId="644D333C" w14:textId="73684DA9" w:rsidR="00F06B13" w:rsidRPr="00B56D94" w:rsidRDefault="00F06B13" w:rsidP="00F06B13">
            <w:pPr>
              <w:rPr>
                <w:sz w:val="20"/>
                <w:szCs w:val="20"/>
                <w:lang w:val="en-GB"/>
              </w:rPr>
            </w:pPr>
          </w:p>
        </w:tc>
      </w:tr>
      <w:bookmarkEnd w:id="7"/>
      <w:tr w:rsidR="00F06B13" w:rsidRPr="0083254F" w14:paraId="659C35D4" w14:textId="77777777" w:rsidTr="003F7B4D">
        <w:tc>
          <w:tcPr>
            <w:tcW w:w="969" w:type="dxa"/>
            <w:vMerge/>
          </w:tcPr>
          <w:p w14:paraId="7F560173" w14:textId="77777777" w:rsidR="00F06B13" w:rsidRPr="0083254F" w:rsidRDefault="00F06B13" w:rsidP="00F06B13">
            <w:pPr>
              <w:rPr>
                <w:lang w:val="en-GB"/>
              </w:rPr>
            </w:pPr>
          </w:p>
        </w:tc>
        <w:tc>
          <w:tcPr>
            <w:tcW w:w="11981" w:type="dxa"/>
            <w:gridSpan w:val="6"/>
            <w:shd w:val="clear" w:color="auto" w:fill="D0CECE" w:themeFill="background2" w:themeFillShade="E6"/>
          </w:tcPr>
          <w:p w14:paraId="218287E6" w14:textId="77777777" w:rsidR="00F06B13" w:rsidRPr="0083254F" w:rsidRDefault="00F06B13" w:rsidP="00F06B13">
            <w:pPr>
              <w:rPr>
                <w:lang w:val="en-GB"/>
              </w:rPr>
            </w:pPr>
            <w:r w:rsidRPr="0083254F">
              <w:rPr>
                <w:b/>
                <w:lang w:val="en-GB"/>
              </w:rPr>
              <w:t>Related UNCDF IRRM 2014-2017 indicator:</w:t>
            </w:r>
            <w:r w:rsidRPr="0083254F">
              <w:rPr>
                <w:lang w:val="en-GB"/>
              </w:rPr>
              <w:t xml:space="preserve"> New</w:t>
            </w:r>
          </w:p>
          <w:p w14:paraId="27A44FF5" w14:textId="77777777" w:rsidR="00F06B13" w:rsidRPr="0083254F" w:rsidRDefault="00F06B13" w:rsidP="00F06B13">
            <w:pPr>
              <w:rPr>
                <w:lang w:val="en-GB"/>
              </w:rPr>
            </w:pPr>
            <w:r w:rsidRPr="0083254F">
              <w:rPr>
                <w:b/>
                <w:lang w:val="en-GB"/>
              </w:rPr>
              <w:t>Data source:</w:t>
            </w:r>
            <w:r>
              <w:rPr>
                <w:b/>
                <w:lang w:val="en-GB"/>
              </w:rPr>
              <w:t xml:space="preserve"> </w:t>
            </w:r>
            <w:r w:rsidRPr="0037738B">
              <w:rPr>
                <w:lang w:val="en-GB"/>
              </w:rPr>
              <w:t>Practice</w:t>
            </w:r>
            <w:r>
              <w:rPr>
                <w:lang w:val="en-GB"/>
              </w:rPr>
              <w:t>s and</w:t>
            </w:r>
            <w:r w:rsidRPr="0083254F">
              <w:rPr>
                <w:lang w:val="en-GB"/>
              </w:rPr>
              <w:t xml:space="preserve"> </w:t>
            </w:r>
            <w:r>
              <w:rPr>
                <w:lang w:val="en-GB"/>
              </w:rPr>
              <w:t>Partnership, Policy and Communication unit (qualitative &amp; descriptive indicator)</w:t>
            </w:r>
          </w:p>
        </w:tc>
      </w:tr>
      <w:tr w:rsidR="00F06B13" w:rsidRPr="0083254F" w14:paraId="466D583E" w14:textId="77777777" w:rsidTr="00F06B13">
        <w:tc>
          <w:tcPr>
            <w:tcW w:w="969" w:type="dxa"/>
            <w:vMerge w:val="restart"/>
          </w:tcPr>
          <w:p w14:paraId="34C9FF53" w14:textId="52719D51" w:rsidR="00F06B13" w:rsidRPr="0083254F" w:rsidRDefault="00F06B13" w:rsidP="00F06B13">
            <w:pPr>
              <w:rPr>
                <w:lang w:val="en-GB"/>
              </w:rPr>
            </w:pPr>
            <w:r w:rsidRPr="0083254F">
              <w:rPr>
                <w:lang w:val="en-GB"/>
              </w:rPr>
              <w:t>IE</w:t>
            </w:r>
            <w:r>
              <w:rPr>
                <w:lang w:val="en-GB"/>
              </w:rPr>
              <w:t>5.</w:t>
            </w:r>
            <w:r w:rsidR="0083436F">
              <w:rPr>
                <w:lang w:val="en-GB"/>
              </w:rPr>
              <w:t>4</w:t>
            </w:r>
          </w:p>
          <w:p w14:paraId="4454EFEA" w14:textId="77777777" w:rsidR="00F06B13" w:rsidRPr="0083254F" w:rsidRDefault="00F06B13" w:rsidP="00F06B13">
            <w:pPr>
              <w:rPr>
                <w:lang w:val="en-GB"/>
              </w:rPr>
            </w:pPr>
          </w:p>
        </w:tc>
        <w:tc>
          <w:tcPr>
            <w:tcW w:w="5904" w:type="dxa"/>
          </w:tcPr>
          <w:p w14:paraId="0984B8E8" w14:textId="77777777" w:rsidR="00F06B13" w:rsidRPr="0083254F" w:rsidRDefault="00F06B13" w:rsidP="00F06B13">
            <w:pPr>
              <w:rPr>
                <w:lang w:val="en-GB"/>
              </w:rPr>
            </w:pPr>
            <w:r>
              <w:rPr>
                <w:lang w:val="en-GB"/>
              </w:rPr>
              <w:t xml:space="preserve">Percentage of annual expenditure accounted for and reported on IATI dashboard </w:t>
            </w:r>
          </w:p>
        </w:tc>
        <w:tc>
          <w:tcPr>
            <w:tcW w:w="1225" w:type="dxa"/>
          </w:tcPr>
          <w:p w14:paraId="43B6480A" w14:textId="00B95526" w:rsidR="00F06B13" w:rsidRPr="0083254F" w:rsidRDefault="00470289" w:rsidP="00F06B13">
            <w:pPr>
              <w:rPr>
                <w:lang w:val="en-GB"/>
              </w:rPr>
            </w:pPr>
            <w:r>
              <w:rPr>
                <w:lang w:val="en-GB"/>
              </w:rPr>
              <w:t>96%</w:t>
            </w:r>
          </w:p>
        </w:tc>
        <w:tc>
          <w:tcPr>
            <w:tcW w:w="1213" w:type="dxa"/>
          </w:tcPr>
          <w:p w14:paraId="42F68478" w14:textId="1DE81489" w:rsidR="00F06B13" w:rsidRPr="0083254F" w:rsidRDefault="00470289" w:rsidP="00F06B13">
            <w:pPr>
              <w:rPr>
                <w:lang w:val="en-GB"/>
              </w:rPr>
            </w:pPr>
            <w:r>
              <w:rPr>
                <w:lang w:val="en-GB"/>
              </w:rPr>
              <w:t>100%</w:t>
            </w:r>
          </w:p>
        </w:tc>
        <w:tc>
          <w:tcPr>
            <w:tcW w:w="1213" w:type="dxa"/>
          </w:tcPr>
          <w:p w14:paraId="0644CB76" w14:textId="5E9C3F6D" w:rsidR="00F06B13" w:rsidRPr="0083254F" w:rsidRDefault="00470289" w:rsidP="00F06B13">
            <w:pPr>
              <w:rPr>
                <w:lang w:val="en-GB"/>
              </w:rPr>
            </w:pPr>
            <w:r>
              <w:rPr>
                <w:lang w:val="en-GB"/>
              </w:rPr>
              <w:t>100%</w:t>
            </w:r>
          </w:p>
        </w:tc>
        <w:tc>
          <w:tcPr>
            <w:tcW w:w="1213" w:type="dxa"/>
          </w:tcPr>
          <w:p w14:paraId="183E1582" w14:textId="576DBCFB" w:rsidR="00F06B13" w:rsidRPr="0083254F" w:rsidRDefault="00470289" w:rsidP="00F06B13">
            <w:pPr>
              <w:rPr>
                <w:lang w:val="en-GB"/>
              </w:rPr>
            </w:pPr>
            <w:r>
              <w:rPr>
                <w:lang w:val="en-GB"/>
              </w:rPr>
              <w:t>100%</w:t>
            </w:r>
          </w:p>
        </w:tc>
        <w:tc>
          <w:tcPr>
            <w:tcW w:w="1213" w:type="dxa"/>
          </w:tcPr>
          <w:p w14:paraId="20CBD314" w14:textId="7EAF33D1" w:rsidR="00F06B13" w:rsidRPr="0083254F" w:rsidRDefault="00470289" w:rsidP="00F06B13">
            <w:pPr>
              <w:rPr>
                <w:lang w:val="en-GB"/>
              </w:rPr>
            </w:pPr>
            <w:r>
              <w:rPr>
                <w:lang w:val="en-GB"/>
              </w:rPr>
              <w:t>100%</w:t>
            </w:r>
          </w:p>
        </w:tc>
      </w:tr>
      <w:tr w:rsidR="00F06B13" w:rsidRPr="0083254F" w14:paraId="00E8114F" w14:textId="77777777" w:rsidTr="003F7B4D">
        <w:tc>
          <w:tcPr>
            <w:tcW w:w="969" w:type="dxa"/>
            <w:vMerge/>
          </w:tcPr>
          <w:p w14:paraId="6BDF2248" w14:textId="77777777" w:rsidR="00F06B13" w:rsidRPr="0083254F" w:rsidRDefault="00F06B13" w:rsidP="00F06B13">
            <w:pPr>
              <w:rPr>
                <w:lang w:val="en-GB"/>
              </w:rPr>
            </w:pPr>
          </w:p>
        </w:tc>
        <w:tc>
          <w:tcPr>
            <w:tcW w:w="11981" w:type="dxa"/>
            <w:gridSpan w:val="6"/>
            <w:shd w:val="clear" w:color="auto" w:fill="D0CECE" w:themeFill="background2" w:themeFillShade="E6"/>
          </w:tcPr>
          <w:p w14:paraId="6A33033D" w14:textId="77777777" w:rsidR="00F06B13" w:rsidRPr="0083254F" w:rsidRDefault="00F06B13" w:rsidP="00F06B13">
            <w:pPr>
              <w:rPr>
                <w:lang w:val="en-GB"/>
              </w:rPr>
            </w:pPr>
            <w:r w:rsidRPr="0083254F">
              <w:rPr>
                <w:b/>
                <w:lang w:val="en-GB"/>
              </w:rPr>
              <w:t>Related UNCDF IRRM 2014-2017 indicator:</w:t>
            </w:r>
            <w:r w:rsidRPr="0083254F">
              <w:rPr>
                <w:lang w:val="en-GB"/>
              </w:rPr>
              <w:t xml:space="preserve"> New</w:t>
            </w:r>
          </w:p>
          <w:p w14:paraId="42102855" w14:textId="77777777" w:rsidR="00F06B13" w:rsidRPr="0083254F" w:rsidRDefault="00F06B13" w:rsidP="00F06B13">
            <w:pPr>
              <w:rPr>
                <w:lang w:val="en-GB"/>
              </w:rPr>
            </w:pPr>
            <w:r w:rsidRPr="0083254F">
              <w:rPr>
                <w:b/>
                <w:lang w:val="en-GB"/>
              </w:rPr>
              <w:t>Data source:</w:t>
            </w:r>
            <w:r w:rsidRPr="0083254F">
              <w:rPr>
                <w:lang w:val="en-GB"/>
              </w:rPr>
              <w:t xml:space="preserve"> HQ</w:t>
            </w:r>
            <w:r>
              <w:rPr>
                <w:lang w:val="en-GB"/>
              </w:rPr>
              <w:t xml:space="preserve"> (via IATI dashboard)</w:t>
            </w:r>
          </w:p>
        </w:tc>
      </w:tr>
    </w:tbl>
    <w:p w14:paraId="18413477" w14:textId="68C13ACF" w:rsidR="00C656CF" w:rsidRPr="0083254F" w:rsidRDefault="00C656CF" w:rsidP="009B3E0B">
      <w:pPr>
        <w:tabs>
          <w:tab w:val="left" w:pos="2758"/>
        </w:tabs>
        <w:spacing w:after="0" w:line="240" w:lineRule="auto"/>
        <w:rPr>
          <w:lang w:val="en-GB"/>
        </w:rPr>
      </w:pPr>
    </w:p>
    <w:sectPr w:rsidR="00C656CF" w:rsidRPr="0083254F" w:rsidSect="00C656CF">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AE7BB" w14:textId="77777777" w:rsidR="00B7441C" w:rsidRDefault="00B7441C" w:rsidP="00C656CF">
      <w:pPr>
        <w:spacing w:after="0" w:line="240" w:lineRule="auto"/>
      </w:pPr>
      <w:r>
        <w:separator/>
      </w:r>
    </w:p>
  </w:endnote>
  <w:endnote w:type="continuationSeparator" w:id="0">
    <w:p w14:paraId="42A95F24" w14:textId="77777777" w:rsidR="00B7441C" w:rsidRDefault="00B7441C" w:rsidP="00C6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947607"/>
      <w:docPartObj>
        <w:docPartGallery w:val="Page Numbers (Bottom of Page)"/>
        <w:docPartUnique/>
      </w:docPartObj>
    </w:sdtPr>
    <w:sdtEndPr>
      <w:rPr>
        <w:noProof/>
      </w:rPr>
    </w:sdtEndPr>
    <w:sdtContent>
      <w:p w14:paraId="095D72F6" w14:textId="4FFC8B52" w:rsidR="00592405" w:rsidRDefault="00592405">
        <w:pPr>
          <w:pStyle w:val="Footer"/>
          <w:jc w:val="right"/>
        </w:pPr>
        <w:r>
          <w:fldChar w:fldCharType="begin"/>
        </w:r>
        <w:r>
          <w:instrText xml:space="preserve"> PAGE   \* MERGEFORMAT </w:instrText>
        </w:r>
        <w:r>
          <w:fldChar w:fldCharType="separate"/>
        </w:r>
        <w:r w:rsidR="00ED77CF">
          <w:rPr>
            <w:noProof/>
          </w:rPr>
          <w:t>2</w:t>
        </w:r>
        <w:r>
          <w:rPr>
            <w:noProof/>
          </w:rPr>
          <w:fldChar w:fldCharType="end"/>
        </w:r>
      </w:p>
    </w:sdtContent>
  </w:sdt>
  <w:p w14:paraId="57C19DF8" w14:textId="77777777" w:rsidR="00592405" w:rsidRDefault="0059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3A5AC" w14:textId="77777777" w:rsidR="00B7441C" w:rsidRDefault="00B7441C" w:rsidP="00C656CF">
      <w:pPr>
        <w:spacing w:after="0" w:line="240" w:lineRule="auto"/>
      </w:pPr>
      <w:r>
        <w:separator/>
      </w:r>
    </w:p>
  </w:footnote>
  <w:footnote w:type="continuationSeparator" w:id="0">
    <w:p w14:paraId="0A332F08" w14:textId="77777777" w:rsidR="00B7441C" w:rsidRDefault="00B7441C" w:rsidP="00C656CF">
      <w:pPr>
        <w:spacing w:after="0" w:line="240" w:lineRule="auto"/>
      </w:pPr>
      <w:r>
        <w:continuationSeparator/>
      </w:r>
    </w:p>
  </w:footnote>
  <w:footnote w:id="1">
    <w:p w14:paraId="744B06DB" w14:textId="33DE4598" w:rsidR="00592405" w:rsidRPr="00CC09EC" w:rsidRDefault="00592405">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Exceptions were made for impact level indicators that adopted SDG indicators and their targets and outcome/output-level indicators reporting once every two years and for qualitative indicators that set milestones for validation rather than concrete targets. </w:t>
      </w:r>
    </w:p>
  </w:footnote>
  <w:footnote w:id="2">
    <w:p w14:paraId="105E4526" w14:textId="1A39B2CA"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Sex-disaggregation for LDCs on SDG indicator 8.10.2 not available in the UN SDG Global Database as of November 2017. </w:t>
      </w:r>
    </w:p>
  </w:footnote>
  <w:footnote w:id="3">
    <w:p w14:paraId="1865073A" w14:textId="74399826" w:rsidR="00592405" w:rsidRPr="00CC09EC" w:rsidRDefault="00592405">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Preliminary baseline is set with 2016 results data unless otherwise noted. </w:t>
      </w:r>
    </w:p>
  </w:footnote>
  <w:footnote w:id="4">
    <w:p w14:paraId="7E6C0F08" w14:textId="42A5F5BA" w:rsidR="00592405" w:rsidRPr="00CC09EC" w:rsidRDefault="00592405">
      <w:pPr>
        <w:pStyle w:val="FootnoteText"/>
        <w:rPr>
          <w:rFonts w:ascii="Calibri" w:hAnsi="Calibri"/>
          <w:sz w:val="18"/>
          <w:szCs w:val="18"/>
        </w:rPr>
      </w:pPr>
      <w:r w:rsidRPr="00CC09EC">
        <w:rPr>
          <w:rStyle w:val="FootnoteReference"/>
          <w:color w:val="auto"/>
          <w:sz w:val="18"/>
          <w:szCs w:val="18"/>
        </w:rPr>
        <w:footnoteRef/>
      </w:r>
      <w:r w:rsidRPr="00CC09EC">
        <w:rPr>
          <w:sz w:val="18"/>
          <w:szCs w:val="18"/>
        </w:rPr>
        <w:t xml:space="preserve"> </w:t>
      </w:r>
      <w:r w:rsidRPr="00CC09EC">
        <w:rPr>
          <w:rFonts w:ascii="Calibri" w:hAnsi="Calibri"/>
          <w:sz w:val="18"/>
          <w:szCs w:val="18"/>
        </w:rPr>
        <w:t xml:space="preserve">Baseline uses 2016 figures but reduced to account for the portion contributed by programmes that closed in 2016. </w:t>
      </w:r>
    </w:p>
  </w:footnote>
  <w:footnote w:id="5">
    <w:p w14:paraId="30D0824F" w14:textId="76B07658"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Same as above. </w:t>
      </w:r>
    </w:p>
  </w:footnote>
  <w:footnote w:id="6">
    <w:p w14:paraId="7658B05A" w14:textId="1411AABF" w:rsidR="00592405" w:rsidRPr="00CC09EC" w:rsidRDefault="00592405">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Cumulatively, a 100% targeted countries are expected to shift their market development stage during the Strategic Framework 2018-2021. </w:t>
      </w:r>
    </w:p>
  </w:footnote>
  <w:footnote w:id="7">
    <w:p w14:paraId="09C70243" w14:textId="2E6897DA" w:rsidR="00592405" w:rsidRPr="00CC09EC" w:rsidRDefault="00592405">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w:t>
      </w:r>
      <w:bookmarkStart w:id="2" w:name="_Hlk499036197"/>
      <w:r w:rsidRPr="00CC09EC">
        <w:rPr>
          <w:rFonts w:ascii="Calibri" w:hAnsi="Calibri"/>
          <w:sz w:val="18"/>
          <w:szCs w:val="18"/>
        </w:rPr>
        <w:t xml:space="preserve">Baseline uses 2016 figures but reduced to account for the portion contributed by programmes that closed in 2016. </w:t>
      </w:r>
      <w:bookmarkEnd w:id="2"/>
    </w:p>
  </w:footnote>
  <w:footnote w:id="8">
    <w:p w14:paraId="6B98A015" w14:textId="64D4D07F" w:rsidR="00592405" w:rsidRPr="00CC09EC" w:rsidRDefault="00592405">
      <w:pPr>
        <w:pStyle w:val="FootnoteText"/>
        <w:rPr>
          <w:rFonts w:ascii="Calibri" w:hAnsi="Calibri"/>
          <w:sz w:val="18"/>
          <w:szCs w:val="18"/>
        </w:rPr>
      </w:pPr>
      <w:r w:rsidRPr="00CC09EC">
        <w:rPr>
          <w:rStyle w:val="FootnoteReference"/>
          <w:color w:val="auto"/>
          <w:sz w:val="18"/>
          <w:szCs w:val="18"/>
        </w:rPr>
        <w:footnoteRef/>
      </w:r>
      <w:r w:rsidRPr="00CC09EC">
        <w:rPr>
          <w:sz w:val="18"/>
          <w:szCs w:val="18"/>
        </w:rPr>
        <w:t xml:space="preserve"> </w:t>
      </w:r>
      <w:r w:rsidRPr="00CC09EC">
        <w:rPr>
          <w:rFonts w:ascii="Calibri" w:hAnsi="Calibri"/>
          <w:sz w:val="18"/>
          <w:szCs w:val="18"/>
        </w:rPr>
        <w:t xml:space="preserve">Same as above. </w:t>
      </w:r>
    </w:p>
  </w:footnote>
  <w:footnote w:id="9">
    <w:p w14:paraId="11AFDD96" w14:textId="0CFE402B"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Estimated figure of government parallel funds channeled through UNCDF supported public local finance systems as of April 2017.   </w:t>
      </w:r>
    </w:p>
  </w:footnote>
  <w:footnote w:id="10">
    <w:p w14:paraId="66BB9548" w14:textId="2574AEE8" w:rsidR="00592405" w:rsidRPr="00CC09EC" w:rsidRDefault="00592405">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Baseline uses 2016 figures but reduced to account for the portion contributed by programmes that closed in 2016. </w:t>
      </w:r>
    </w:p>
  </w:footnote>
  <w:footnote w:id="11">
    <w:p w14:paraId="13B5F37E" w14:textId="371A1263"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Same as above.</w:t>
      </w:r>
    </w:p>
  </w:footnote>
  <w:footnote w:id="12">
    <w:p w14:paraId="1080736F" w14:textId="77777777" w:rsidR="00592405" w:rsidRPr="00CC09EC" w:rsidRDefault="00592405" w:rsidP="00BA0916">
      <w:pPr>
        <w:pStyle w:val="FootnoteText"/>
        <w:rPr>
          <w:rFonts w:ascii="Calibri" w:hAnsi="Calibri"/>
          <w:sz w:val="18"/>
          <w:szCs w:val="18"/>
        </w:rPr>
      </w:pPr>
      <w:r w:rsidRPr="00CC09EC">
        <w:rPr>
          <w:rStyle w:val="FootnoteReference"/>
          <w:rFonts w:ascii="Calibri" w:hAnsi="Calibri"/>
          <w:color w:val="auto"/>
          <w:sz w:val="18"/>
          <w:szCs w:val="18"/>
        </w:rPr>
        <w:footnoteRef/>
      </w:r>
      <w:r w:rsidRPr="00CC09EC">
        <w:rPr>
          <w:rFonts w:ascii="Calibri" w:hAnsi="Calibri"/>
          <w:sz w:val="18"/>
          <w:szCs w:val="18"/>
        </w:rPr>
        <w:t xml:space="preserve"> Baseline is based on estimated 2017 data. </w:t>
      </w:r>
    </w:p>
  </w:footnote>
  <w:footnote w:id="13">
    <w:p w14:paraId="5D1560B4" w14:textId="7C8B4099" w:rsidR="00592405" w:rsidRPr="00C36148" w:rsidRDefault="00592405">
      <w:pPr>
        <w:pStyle w:val="FootnoteText"/>
        <w:rPr>
          <w:sz w:val="18"/>
          <w:szCs w:val="18"/>
        </w:rPr>
      </w:pPr>
      <w:r w:rsidRPr="00C36148">
        <w:rPr>
          <w:rStyle w:val="FootnoteReference"/>
          <w:color w:val="auto"/>
          <w:sz w:val="18"/>
          <w:szCs w:val="18"/>
        </w:rPr>
        <w:footnoteRef/>
      </w:r>
      <w:r w:rsidRPr="00C36148">
        <w:rPr>
          <w:sz w:val="18"/>
          <w:szCs w:val="18"/>
        </w:rPr>
        <w:t xml:space="preserve"> </w:t>
      </w:r>
      <w:r w:rsidRPr="00CC09EC">
        <w:rPr>
          <w:sz w:val="18"/>
          <w:szCs w:val="18"/>
        </w:rPr>
        <w:t xml:space="preserve">The </w:t>
      </w:r>
      <w:r>
        <w:rPr>
          <w:sz w:val="18"/>
          <w:szCs w:val="18"/>
        </w:rPr>
        <w:t xml:space="preserve">core resource mobilization target is based on of the ideal level of core funds required to maximize the balance of TA to capital investment across the UNCDF portfolio, to optimize flexibility to go where the need and readiness are greatest, to ensure </w:t>
      </w:r>
      <w:r w:rsidR="006076CD">
        <w:rPr>
          <w:sz w:val="18"/>
          <w:szCs w:val="18"/>
        </w:rPr>
        <w:t xml:space="preserve">continued innovation in finance solutions for inclusion, and to </w:t>
      </w:r>
      <w:r>
        <w:rPr>
          <w:sz w:val="18"/>
          <w:szCs w:val="18"/>
        </w:rPr>
        <w:t xml:space="preserve">have strategic presence in at least 40 LDCs. Targets for the programmatic results and other institutional effectiveness indicators are projected based on an incremental </w:t>
      </w:r>
      <w:r w:rsidR="00E11952">
        <w:rPr>
          <w:sz w:val="18"/>
          <w:szCs w:val="18"/>
        </w:rPr>
        <w:t xml:space="preserve">increase in </w:t>
      </w:r>
      <w:r w:rsidR="00E11952" w:rsidRPr="00743125">
        <w:rPr>
          <w:i/>
          <w:sz w:val="18"/>
          <w:szCs w:val="18"/>
        </w:rPr>
        <w:t>total</w:t>
      </w:r>
      <w:r w:rsidR="00E11952">
        <w:rPr>
          <w:sz w:val="18"/>
          <w:szCs w:val="18"/>
        </w:rPr>
        <w:t xml:space="preserve"> </w:t>
      </w:r>
      <w:r>
        <w:rPr>
          <w:sz w:val="18"/>
          <w:szCs w:val="18"/>
        </w:rPr>
        <w:t>resource</w:t>
      </w:r>
      <w:r w:rsidR="00E11952">
        <w:rPr>
          <w:sz w:val="18"/>
          <w:szCs w:val="18"/>
        </w:rPr>
        <w:t>s over 4 years</w:t>
      </w:r>
      <w:r>
        <w:rPr>
          <w:sz w:val="18"/>
          <w:szCs w:val="18"/>
        </w:rPr>
        <w:t xml:space="preserve">. </w:t>
      </w:r>
    </w:p>
  </w:footnote>
  <w:footnote w:id="14">
    <w:p w14:paraId="05F77859" w14:textId="00EB126D" w:rsidR="00592405" w:rsidRDefault="00592405">
      <w:pPr>
        <w:pStyle w:val="FootnoteText"/>
      </w:pPr>
      <w:r w:rsidRPr="00C36148">
        <w:rPr>
          <w:rStyle w:val="FootnoteReference"/>
          <w:color w:val="auto"/>
          <w:sz w:val="18"/>
          <w:szCs w:val="18"/>
        </w:rPr>
        <w:footnoteRef/>
      </w:r>
      <w:r w:rsidRPr="00C36148">
        <w:rPr>
          <w:sz w:val="18"/>
          <w:szCs w:val="18"/>
        </w:rPr>
        <w:t xml:space="preserve"> </w:t>
      </w:r>
      <w:r w:rsidRPr="00CC09EC">
        <w:rPr>
          <w:rFonts w:hint="eastAsia"/>
          <w:sz w:val="18"/>
          <w:szCs w:val="18"/>
        </w:rPr>
        <w:t>U</w:t>
      </w:r>
      <w:r w:rsidRPr="00CC09EC">
        <w:rPr>
          <w:sz w:val="18"/>
          <w:szCs w:val="18"/>
        </w:rPr>
        <w:t xml:space="preserve">NDP contributions are based on UNDP’s budget </w:t>
      </w:r>
      <w:r>
        <w:rPr>
          <w:sz w:val="18"/>
          <w:szCs w:val="18"/>
        </w:rPr>
        <w:t>presented</w:t>
      </w:r>
      <w:r w:rsidRPr="00CC09EC">
        <w:rPr>
          <w:sz w:val="18"/>
          <w:szCs w:val="18"/>
        </w:rPr>
        <w:t xml:space="preserve"> in the UNDP Strategic Plan 2018-2021.</w:t>
      </w:r>
    </w:p>
  </w:footnote>
  <w:footnote w:id="15">
    <w:p w14:paraId="07EEBCEE" w14:textId="7804FC5C"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w:t>
      </w:r>
      <w:r w:rsidRPr="00CC09EC">
        <w:rPr>
          <w:rFonts w:ascii="Calibri" w:hAnsi="Calibri"/>
          <w:sz w:val="18"/>
          <w:szCs w:val="18"/>
        </w:rPr>
        <w:t>Baseline is based on estimated 2017 data.</w:t>
      </w:r>
    </w:p>
  </w:footnote>
  <w:footnote w:id="16">
    <w:p w14:paraId="115774FE" w14:textId="34A73C79"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Same as above. </w:t>
      </w:r>
    </w:p>
  </w:footnote>
  <w:footnote w:id="17">
    <w:p w14:paraId="273285CF" w14:textId="62A2F4E6" w:rsidR="00592405" w:rsidRPr="00CC09EC" w:rsidRDefault="00592405">
      <w:pPr>
        <w:pStyle w:val="FootnoteText"/>
        <w:rPr>
          <w:sz w:val="18"/>
          <w:szCs w:val="18"/>
        </w:rPr>
      </w:pPr>
      <w:r w:rsidRPr="00CC09EC">
        <w:rPr>
          <w:rStyle w:val="FootnoteReference"/>
          <w:color w:val="auto"/>
          <w:sz w:val="18"/>
          <w:szCs w:val="18"/>
        </w:rPr>
        <w:footnoteRef/>
      </w:r>
      <w:r w:rsidRPr="00CC09EC">
        <w:rPr>
          <w:sz w:val="18"/>
          <w:szCs w:val="18"/>
        </w:rPr>
        <w:t xml:space="preserve"> Same as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5E03" w14:textId="7B111042" w:rsidR="00592405" w:rsidRDefault="00592405">
    <w:pPr>
      <w:pStyle w:val="Header"/>
    </w:pPr>
    <w:r>
      <w:rPr>
        <w:noProof/>
        <w:lang w:eastAsia="en-US"/>
      </w:rPr>
      <w:drawing>
        <wp:anchor distT="0" distB="0" distL="114300" distR="114300" simplePos="0" relativeHeight="251659264" behindDoc="0" locked="0" layoutInCell="1" allowOverlap="1" wp14:anchorId="58A9B693" wp14:editId="7702A634">
          <wp:simplePos x="0" y="0"/>
          <wp:positionH relativeFrom="margin">
            <wp:align>right</wp:align>
          </wp:positionH>
          <wp:positionV relativeFrom="margin">
            <wp:posOffset>-729719</wp:posOffset>
          </wp:positionV>
          <wp:extent cx="570865" cy="556260"/>
          <wp:effectExtent l="0" t="0" r="635" b="0"/>
          <wp:wrapSquare wrapText="bothSides"/>
          <wp:docPr id="7" name="Picture 7" descr="UNCDF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DF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1F4D"/>
    <w:multiLevelType w:val="hybridMultilevel"/>
    <w:tmpl w:val="A44EC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1429F"/>
    <w:multiLevelType w:val="hybridMultilevel"/>
    <w:tmpl w:val="59489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61C"/>
    <w:multiLevelType w:val="hybridMultilevel"/>
    <w:tmpl w:val="7520B346"/>
    <w:lvl w:ilvl="0" w:tplc="D8C0E8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41BC7"/>
    <w:multiLevelType w:val="hybridMultilevel"/>
    <w:tmpl w:val="DC508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257C2"/>
    <w:multiLevelType w:val="hybridMultilevel"/>
    <w:tmpl w:val="E394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95963"/>
    <w:multiLevelType w:val="hybridMultilevel"/>
    <w:tmpl w:val="C93A556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E0508A"/>
    <w:multiLevelType w:val="hybridMultilevel"/>
    <w:tmpl w:val="0C0C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E3EA5"/>
    <w:multiLevelType w:val="hybridMultilevel"/>
    <w:tmpl w:val="18CA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A69EF"/>
    <w:multiLevelType w:val="hybridMultilevel"/>
    <w:tmpl w:val="DC508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731C0"/>
    <w:multiLevelType w:val="hybridMultilevel"/>
    <w:tmpl w:val="BE2E9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5"/>
  </w:num>
  <w:num w:numId="6">
    <w:abstractNumId w:val="9"/>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F9"/>
    <w:rsid w:val="00007776"/>
    <w:rsid w:val="000108C8"/>
    <w:rsid w:val="00016409"/>
    <w:rsid w:val="00016E21"/>
    <w:rsid w:val="000200BA"/>
    <w:rsid w:val="00026EC5"/>
    <w:rsid w:val="000352D3"/>
    <w:rsid w:val="0005016A"/>
    <w:rsid w:val="000675E0"/>
    <w:rsid w:val="00070781"/>
    <w:rsid w:val="00077D46"/>
    <w:rsid w:val="0009018E"/>
    <w:rsid w:val="000923B0"/>
    <w:rsid w:val="000B691A"/>
    <w:rsid w:val="000B7483"/>
    <w:rsid w:val="000C0F48"/>
    <w:rsid w:val="000C79BD"/>
    <w:rsid w:val="000D4B12"/>
    <w:rsid w:val="000D79FD"/>
    <w:rsid w:val="000E4271"/>
    <w:rsid w:val="000E7F39"/>
    <w:rsid w:val="000F30FA"/>
    <w:rsid w:val="000F371E"/>
    <w:rsid w:val="00101492"/>
    <w:rsid w:val="001078C5"/>
    <w:rsid w:val="00113BFA"/>
    <w:rsid w:val="001149E8"/>
    <w:rsid w:val="00121283"/>
    <w:rsid w:val="001212D3"/>
    <w:rsid w:val="00122B4A"/>
    <w:rsid w:val="0013096A"/>
    <w:rsid w:val="00140FF2"/>
    <w:rsid w:val="00146482"/>
    <w:rsid w:val="00151A8E"/>
    <w:rsid w:val="00151DA8"/>
    <w:rsid w:val="00160872"/>
    <w:rsid w:val="00160D82"/>
    <w:rsid w:val="001750B6"/>
    <w:rsid w:val="00190D9F"/>
    <w:rsid w:val="00191BF8"/>
    <w:rsid w:val="0019655A"/>
    <w:rsid w:val="001A2583"/>
    <w:rsid w:val="001A3A92"/>
    <w:rsid w:val="001A40AC"/>
    <w:rsid w:val="001A411B"/>
    <w:rsid w:val="001A4EBC"/>
    <w:rsid w:val="001B51C3"/>
    <w:rsid w:val="001C16CF"/>
    <w:rsid w:val="001C3DF3"/>
    <w:rsid w:val="001E1754"/>
    <w:rsid w:val="001E183B"/>
    <w:rsid w:val="001E6F17"/>
    <w:rsid w:val="001F29E8"/>
    <w:rsid w:val="001F65A8"/>
    <w:rsid w:val="002039D2"/>
    <w:rsid w:val="00212AAA"/>
    <w:rsid w:val="0021382B"/>
    <w:rsid w:val="0021725E"/>
    <w:rsid w:val="00233818"/>
    <w:rsid w:val="00253927"/>
    <w:rsid w:val="002545F9"/>
    <w:rsid w:val="00256893"/>
    <w:rsid w:val="00257180"/>
    <w:rsid w:val="00262020"/>
    <w:rsid w:val="0026251E"/>
    <w:rsid w:val="002646B3"/>
    <w:rsid w:val="00273143"/>
    <w:rsid w:val="00276C75"/>
    <w:rsid w:val="002775A0"/>
    <w:rsid w:val="00277653"/>
    <w:rsid w:val="00291287"/>
    <w:rsid w:val="00292057"/>
    <w:rsid w:val="002A03BB"/>
    <w:rsid w:val="002A040B"/>
    <w:rsid w:val="002A1DD6"/>
    <w:rsid w:val="002A33DD"/>
    <w:rsid w:val="002C5BDB"/>
    <w:rsid w:val="002D11D6"/>
    <w:rsid w:val="002D4189"/>
    <w:rsid w:val="002E0810"/>
    <w:rsid w:val="002F1D31"/>
    <w:rsid w:val="00306933"/>
    <w:rsid w:val="00310792"/>
    <w:rsid w:val="0031225E"/>
    <w:rsid w:val="003163B4"/>
    <w:rsid w:val="00320B7D"/>
    <w:rsid w:val="003354DE"/>
    <w:rsid w:val="0034078B"/>
    <w:rsid w:val="0036427E"/>
    <w:rsid w:val="0036450E"/>
    <w:rsid w:val="0036736D"/>
    <w:rsid w:val="003813ED"/>
    <w:rsid w:val="00383774"/>
    <w:rsid w:val="00385291"/>
    <w:rsid w:val="00386690"/>
    <w:rsid w:val="003B3766"/>
    <w:rsid w:val="003D5C7C"/>
    <w:rsid w:val="003D5D0A"/>
    <w:rsid w:val="003E04EB"/>
    <w:rsid w:val="003E4A1A"/>
    <w:rsid w:val="003E7628"/>
    <w:rsid w:val="003F2DA2"/>
    <w:rsid w:val="003F7B4D"/>
    <w:rsid w:val="00403D44"/>
    <w:rsid w:val="00410A51"/>
    <w:rsid w:val="00412862"/>
    <w:rsid w:val="004248E7"/>
    <w:rsid w:val="0042744D"/>
    <w:rsid w:val="004312D4"/>
    <w:rsid w:val="00435517"/>
    <w:rsid w:val="00436CFA"/>
    <w:rsid w:val="0044091A"/>
    <w:rsid w:val="00443FFB"/>
    <w:rsid w:val="004451C5"/>
    <w:rsid w:val="004618A6"/>
    <w:rsid w:val="00462395"/>
    <w:rsid w:val="00470289"/>
    <w:rsid w:val="004706E2"/>
    <w:rsid w:val="00473341"/>
    <w:rsid w:val="00477BE3"/>
    <w:rsid w:val="004950D1"/>
    <w:rsid w:val="004968D6"/>
    <w:rsid w:val="004A3BD8"/>
    <w:rsid w:val="004C0025"/>
    <w:rsid w:val="004C1E87"/>
    <w:rsid w:val="004C65CC"/>
    <w:rsid w:val="004C7D5E"/>
    <w:rsid w:val="004D1E20"/>
    <w:rsid w:val="004D4AC4"/>
    <w:rsid w:val="004D51F4"/>
    <w:rsid w:val="004D53DD"/>
    <w:rsid w:val="004D56ED"/>
    <w:rsid w:val="004D724F"/>
    <w:rsid w:val="004E1672"/>
    <w:rsid w:val="004E6D63"/>
    <w:rsid w:val="004E7A19"/>
    <w:rsid w:val="004F61E5"/>
    <w:rsid w:val="00505069"/>
    <w:rsid w:val="00510163"/>
    <w:rsid w:val="00510BEF"/>
    <w:rsid w:val="005146CF"/>
    <w:rsid w:val="005155C4"/>
    <w:rsid w:val="0051644B"/>
    <w:rsid w:val="00526DDE"/>
    <w:rsid w:val="00532AAA"/>
    <w:rsid w:val="00536700"/>
    <w:rsid w:val="00541502"/>
    <w:rsid w:val="005538D5"/>
    <w:rsid w:val="005564B9"/>
    <w:rsid w:val="00557601"/>
    <w:rsid w:val="00557EC5"/>
    <w:rsid w:val="005623EB"/>
    <w:rsid w:val="00592405"/>
    <w:rsid w:val="005937AA"/>
    <w:rsid w:val="00593C12"/>
    <w:rsid w:val="005A0980"/>
    <w:rsid w:val="005A20DC"/>
    <w:rsid w:val="005B21E4"/>
    <w:rsid w:val="005B4C33"/>
    <w:rsid w:val="005B55B9"/>
    <w:rsid w:val="005B6D9A"/>
    <w:rsid w:val="005C139E"/>
    <w:rsid w:val="005C585A"/>
    <w:rsid w:val="005C760B"/>
    <w:rsid w:val="005D438B"/>
    <w:rsid w:val="005D56A6"/>
    <w:rsid w:val="005E04CE"/>
    <w:rsid w:val="005E105B"/>
    <w:rsid w:val="005E1FD9"/>
    <w:rsid w:val="005F2DB3"/>
    <w:rsid w:val="005F73C5"/>
    <w:rsid w:val="006074AD"/>
    <w:rsid w:val="006076CD"/>
    <w:rsid w:val="00613053"/>
    <w:rsid w:val="006138A8"/>
    <w:rsid w:val="00627B09"/>
    <w:rsid w:val="00644ABE"/>
    <w:rsid w:val="0065552A"/>
    <w:rsid w:val="00656F34"/>
    <w:rsid w:val="006638AD"/>
    <w:rsid w:val="00667946"/>
    <w:rsid w:val="006741C6"/>
    <w:rsid w:val="0067655F"/>
    <w:rsid w:val="00677164"/>
    <w:rsid w:val="00692B3D"/>
    <w:rsid w:val="00694887"/>
    <w:rsid w:val="006965D9"/>
    <w:rsid w:val="006977EB"/>
    <w:rsid w:val="00697C48"/>
    <w:rsid w:val="006B43BD"/>
    <w:rsid w:val="006B522B"/>
    <w:rsid w:val="006C31CA"/>
    <w:rsid w:val="006D5124"/>
    <w:rsid w:val="006D5A72"/>
    <w:rsid w:val="006E3516"/>
    <w:rsid w:val="006F053E"/>
    <w:rsid w:val="006F1BB1"/>
    <w:rsid w:val="00703ADC"/>
    <w:rsid w:val="00705900"/>
    <w:rsid w:val="00713249"/>
    <w:rsid w:val="00714DB1"/>
    <w:rsid w:val="007204B6"/>
    <w:rsid w:val="007303E4"/>
    <w:rsid w:val="0073579A"/>
    <w:rsid w:val="00741CD6"/>
    <w:rsid w:val="00743125"/>
    <w:rsid w:val="007475E0"/>
    <w:rsid w:val="0074783B"/>
    <w:rsid w:val="00760DE2"/>
    <w:rsid w:val="0076714B"/>
    <w:rsid w:val="00770DF3"/>
    <w:rsid w:val="007767ED"/>
    <w:rsid w:val="00786A4B"/>
    <w:rsid w:val="00792826"/>
    <w:rsid w:val="0079590F"/>
    <w:rsid w:val="007A65AE"/>
    <w:rsid w:val="007B6761"/>
    <w:rsid w:val="007C4D84"/>
    <w:rsid w:val="007C4E4C"/>
    <w:rsid w:val="007C6E59"/>
    <w:rsid w:val="007D0117"/>
    <w:rsid w:val="007D254B"/>
    <w:rsid w:val="007D72DD"/>
    <w:rsid w:val="007E40B8"/>
    <w:rsid w:val="007E413B"/>
    <w:rsid w:val="007E4A5E"/>
    <w:rsid w:val="007F0807"/>
    <w:rsid w:val="007F5701"/>
    <w:rsid w:val="008126DB"/>
    <w:rsid w:val="008148A5"/>
    <w:rsid w:val="008156E7"/>
    <w:rsid w:val="00815B23"/>
    <w:rsid w:val="00815D10"/>
    <w:rsid w:val="0081639D"/>
    <w:rsid w:val="00816E10"/>
    <w:rsid w:val="00816E70"/>
    <w:rsid w:val="00827562"/>
    <w:rsid w:val="0083254F"/>
    <w:rsid w:val="0083436F"/>
    <w:rsid w:val="00834477"/>
    <w:rsid w:val="00834852"/>
    <w:rsid w:val="00837AA8"/>
    <w:rsid w:val="008414CD"/>
    <w:rsid w:val="00842249"/>
    <w:rsid w:val="008433CE"/>
    <w:rsid w:val="00845EF6"/>
    <w:rsid w:val="00860C66"/>
    <w:rsid w:val="00866BCB"/>
    <w:rsid w:val="00870152"/>
    <w:rsid w:val="0087176C"/>
    <w:rsid w:val="00873BD2"/>
    <w:rsid w:val="00877414"/>
    <w:rsid w:val="008777C4"/>
    <w:rsid w:val="00893D21"/>
    <w:rsid w:val="008C2AAC"/>
    <w:rsid w:val="008C5911"/>
    <w:rsid w:val="008D343F"/>
    <w:rsid w:val="00903A3E"/>
    <w:rsid w:val="00904B71"/>
    <w:rsid w:val="00905337"/>
    <w:rsid w:val="00906A63"/>
    <w:rsid w:val="00906AA7"/>
    <w:rsid w:val="00920039"/>
    <w:rsid w:val="00920234"/>
    <w:rsid w:val="00960E0B"/>
    <w:rsid w:val="00964F3C"/>
    <w:rsid w:val="00971833"/>
    <w:rsid w:val="009719FF"/>
    <w:rsid w:val="00972818"/>
    <w:rsid w:val="00972AAA"/>
    <w:rsid w:val="00975DC0"/>
    <w:rsid w:val="00986A30"/>
    <w:rsid w:val="00991B8E"/>
    <w:rsid w:val="0099634C"/>
    <w:rsid w:val="00996BA3"/>
    <w:rsid w:val="00997E76"/>
    <w:rsid w:val="009A4027"/>
    <w:rsid w:val="009A498F"/>
    <w:rsid w:val="009A5936"/>
    <w:rsid w:val="009B2F24"/>
    <w:rsid w:val="009B3E0B"/>
    <w:rsid w:val="009C29EC"/>
    <w:rsid w:val="009C3B56"/>
    <w:rsid w:val="009D0CE3"/>
    <w:rsid w:val="009D30BA"/>
    <w:rsid w:val="009E3834"/>
    <w:rsid w:val="009E7479"/>
    <w:rsid w:val="009F45D0"/>
    <w:rsid w:val="009F7534"/>
    <w:rsid w:val="00A06808"/>
    <w:rsid w:val="00A2300A"/>
    <w:rsid w:val="00A27CD2"/>
    <w:rsid w:val="00A32C75"/>
    <w:rsid w:val="00A56BC6"/>
    <w:rsid w:val="00A669A2"/>
    <w:rsid w:val="00A7163D"/>
    <w:rsid w:val="00A74662"/>
    <w:rsid w:val="00A76A43"/>
    <w:rsid w:val="00A814B4"/>
    <w:rsid w:val="00A84EF4"/>
    <w:rsid w:val="00A87045"/>
    <w:rsid w:val="00A87085"/>
    <w:rsid w:val="00AA0AB9"/>
    <w:rsid w:val="00AB4A3D"/>
    <w:rsid w:val="00AB5051"/>
    <w:rsid w:val="00AC5B93"/>
    <w:rsid w:val="00AC6409"/>
    <w:rsid w:val="00AE372C"/>
    <w:rsid w:val="00AE4A2F"/>
    <w:rsid w:val="00AF2CCE"/>
    <w:rsid w:val="00AF42EE"/>
    <w:rsid w:val="00B00C00"/>
    <w:rsid w:val="00B07CD2"/>
    <w:rsid w:val="00B16113"/>
    <w:rsid w:val="00B16561"/>
    <w:rsid w:val="00B20710"/>
    <w:rsid w:val="00B26D36"/>
    <w:rsid w:val="00B37F55"/>
    <w:rsid w:val="00B40BA5"/>
    <w:rsid w:val="00B56D94"/>
    <w:rsid w:val="00B654EA"/>
    <w:rsid w:val="00B70F61"/>
    <w:rsid w:val="00B7441C"/>
    <w:rsid w:val="00B75196"/>
    <w:rsid w:val="00B7571A"/>
    <w:rsid w:val="00B868E8"/>
    <w:rsid w:val="00B92769"/>
    <w:rsid w:val="00B9382F"/>
    <w:rsid w:val="00B95823"/>
    <w:rsid w:val="00B9733D"/>
    <w:rsid w:val="00BA0916"/>
    <w:rsid w:val="00BA20F8"/>
    <w:rsid w:val="00BA3242"/>
    <w:rsid w:val="00BB006F"/>
    <w:rsid w:val="00BB025E"/>
    <w:rsid w:val="00BB086C"/>
    <w:rsid w:val="00BB3ED4"/>
    <w:rsid w:val="00BB6A43"/>
    <w:rsid w:val="00BC2B59"/>
    <w:rsid w:val="00BD0AA1"/>
    <w:rsid w:val="00BD3C8E"/>
    <w:rsid w:val="00BF470B"/>
    <w:rsid w:val="00BF63C1"/>
    <w:rsid w:val="00C10384"/>
    <w:rsid w:val="00C12757"/>
    <w:rsid w:val="00C12B6D"/>
    <w:rsid w:val="00C14977"/>
    <w:rsid w:val="00C232A8"/>
    <w:rsid w:val="00C23DE0"/>
    <w:rsid w:val="00C31A99"/>
    <w:rsid w:val="00C36148"/>
    <w:rsid w:val="00C55F3D"/>
    <w:rsid w:val="00C6266F"/>
    <w:rsid w:val="00C6321D"/>
    <w:rsid w:val="00C656CF"/>
    <w:rsid w:val="00C666C2"/>
    <w:rsid w:val="00C667F4"/>
    <w:rsid w:val="00C67E46"/>
    <w:rsid w:val="00C721C6"/>
    <w:rsid w:val="00C73E04"/>
    <w:rsid w:val="00C83A79"/>
    <w:rsid w:val="00C875E9"/>
    <w:rsid w:val="00C87B3A"/>
    <w:rsid w:val="00C92D96"/>
    <w:rsid w:val="00C9357E"/>
    <w:rsid w:val="00C96C3B"/>
    <w:rsid w:val="00C97666"/>
    <w:rsid w:val="00CA6923"/>
    <w:rsid w:val="00CB0386"/>
    <w:rsid w:val="00CB1CC0"/>
    <w:rsid w:val="00CB6792"/>
    <w:rsid w:val="00CC09EC"/>
    <w:rsid w:val="00CE3E59"/>
    <w:rsid w:val="00CE57A6"/>
    <w:rsid w:val="00CE5C4F"/>
    <w:rsid w:val="00CE5EB0"/>
    <w:rsid w:val="00CF1E49"/>
    <w:rsid w:val="00CF30C0"/>
    <w:rsid w:val="00CF5D4F"/>
    <w:rsid w:val="00D1100F"/>
    <w:rsid w:val="00D15BFC"/>
    <w:rsid w:val="00D17E16"/>
    <w:rsid w:val="00D27FCE"/>
    <w:rsid w:val="00D31965"/>
    <w:rsid w:val="00D34F20"/>
    <w:rsid w:val="00D37D53"/>
    <w:rsid w:val="00D564C5"/>
    <w:rsid w:val="00D56893"/>
    <w:rsid w:val="00D64F89"/>
    <w:rsid w:val="00D70690"/>
    <w:rsid w:val="00D73FC9"/>
    <w:rsid w:val="00D742C6"/>
    <w:rsid w:val="00D93C3C"/>
    <w:rsid w:val="00D97660"/>
    <w:rsid w:val="00D9771A"/>
    <w:rsid w:val="00DA2F4B"/>
    <w:rsid w:val="00DA7725"/>
    <w:rsid w:val="00DA7FC1"/>
    <w:rsid w:val="00DB6436"/>
    <w:rsid w:val="00DE60E5"/>
    <w:rsid w:val="00DE6AAB"/>
    <w:rsid w:val="00DE7929"/>
    <w:rsid w:val="00DF681F"/>
    <w:rsid w:val="00DF7D5B"/>
    <w:rsid w:val="00E04C2E"/>
    <w:rsid w:val="00E04F37"/>
    <w:rsid w:val="00E05F4E"/>
    <w:rsid w:val="00E11952"/>
    <w:rsid w:val="00E11E1A"/>
    <w:rsid w:val="00E16031"/>
    <w:rsid w:val="00E17D68"/>
    <w:rsid w:val="00E24945"/>
    <w:rsid w:val="00E308B5"/>
    <w:rsid w:val="00E333F7"/>
    <w:rsid w:val="00E34EE8"/>
    <w:rsid w:val="00E354D9"/>
    <w:rsid w:val="00E426F0"/>
    <w:rsid w:val="00E4404E"/>
    <w:rsid w:val="00E457C5"/>
    <w:rsid w:val="00E45BC9"/>
    <w:rsid w:val="00E461C7"/>
    <w:rsid w:val="00E53CAF"/>
    <w:rsid w:val="00E644B9"/>
    <w:rsid w:val="00E65899"/>
    <w:rsid w:val="00E753E5"/>
    <w:rsid w:val="00E86556"/>
    <w:rsid w:val="00EA5E66"/>
    <w:rsid w:val="00EB6D7D"/>
    <w:rsid w:val="00EC20E9"/>
    <w:rsid w:val="00EC518B"/>
    <w:rsid w:val="00ED129C"/>
    <w:rsid w:val="00ED77CF"/>
    <w:rsid w:val="00EE516B"/>
    <w:rsid w:val="00EE649E"/>
    <w:rsid w:val="00EF024F"/>
    <w:rsid w:val="00EF2DF8"/>
    <w:rsid w:val="00EF3A2C"/>
    <w:rsid w:val="00EF3F5A"/>
    <w:rsid w:val="00F02207"/>
    <w:rsid w:val="00F054B1"/>
    <w:rsid w:val="00F06B13"/>
    <w:rsid w:val="00F148E1"/>
    <w:rsid w:val="00F15BE3"/>
    <w:rsid w:val="00F23CD8"/>
    <w:rsid w:val="00F277F3"/>
    <w:rsid w:val="00F278AB"/>
    <w:rsid w:val="00F3642F"/>
    <w:rsid w:val="00F3701B"/>
    <w:rsid w:val="00F4309C"/>
    <w:rsid w:val="00F50D6E"/>
    <w:rsid w:val="00F52CBF"/>
    <w:rsid w:val="00F53279"/>
    <w:rsid w:val="00F62C96"/>
    <w:rsid w:val="00F6349C"/>
    <w:rsid w:val="00F6469A"/>
    <w:rsid w:val="00F814C7"/>
    <w:rsid w:val="00F868B9"/>
    <w:rsid w:val="00F95635"/>
    <w:rsid w:val="00FA0448"/>
    <w:rsid w:val="00FA5E9F"/>
    <w:rsid w:val="00FA71D8"/>
    <w:rsid w:val="00FB3C84"/>
    <w:rsid w:val="00FB79D2"/>
    <w:rsid w:val="00FC33CD"/>
    <w:rsid w:val="00FD3AC5"/>
    <w:rsid w:val="00FE6549"/>
    <w:rsid w:val="00FE7C74"/>
    <w:rsid w:val="00FF1E8E"/>
    <w:rsid w:val="00FF34F9"/>
    <w:rsid w:val="00FF3535"/>
    <w:rsid w:val="00FF493A"/>
    <w:rsid w:val="00FF7E3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0309"/>
  <w15:docId w15:val="{6403BEFD-F2FA-4904-94BE-B6EF45C5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6CF"/>
  </w:style>
  <w:style w:type="paragraph" w:styleId="Footer">
    <w:name w:val="footer"/>
    <w:basedOn w:val="Normal"/>
    <w:link w:val="FooterChar"/>
    <w:uiPriority w:val="99"/>
    <w:unhideWhenUsed/>
    <w:rsid w:val="00C6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6CF"/>
  </w:style>
  <w:style w:type="table" w:styleId="TableGrid">
    <w:name w:val="Table Grid"/>
    <w:basedOn w:val="TableNormal"/>
    <w:uiPriority w:val="39"/>
    <w:rsid w:val="00F2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C66"/>
    <w:pPr>
      <w:ind w:left="720"/>
      <w:contextualSpacing/>
    </w:pPr>
  </w:style>
  <w:style w:type="character" w:styleId="CommentReference">
    <w:name w:val="annotation reference"/>
    <w:basedOn w:val="DefaultParagraphFont"/>
    <w:uiPriority w:val="99"/>
    <w:semiHidden/>
    <w:unhideWhenUsed/>
    <w:rsid w:val="00D70690"/>
    <w:rPr>
      <w:sz w:val="16"/>
      <w:szCs w:val="16"/>
    </w:rPr>
  </w:style>
  <w:style w:type="paragraph" w:styleId="CommentText">
    <w:name w:val="annotation text"/>
    <w:basedOn w:val="Normal"/>
    <w:link w:val="CommentTextChar"/>
    <w:uiPriority w:val="99"/>
    <w:semiHidden/>
    <w:unhideWhenUsed/>
    <w:rsid w:val="00D70690"/>
    <w:pPr>
      <w:spacing w:line="240" w:lineRule="auto"/>
    </w:pPr>
    <w:rPr>
      <w:sz w:val="20"/>
      <w:szCs w:val="20"/>
    </w:rPr>
  </w:style>
  <w:style w:type="character" w:customStyle="1" w:styleId="CommentTextChar">
    <w:name w:val="Comment Text Char"/>
    <w:basedOn w:val="DefaultParagraphFont"/>
    <w:link w:val="CommentText"/>
    <w:uiPriority w:val="99"/>
    <w:semiHidden/>
    <w:rsid w:val="00D70690"/>
    <w:rPr>
      <w:sz w:val="20"/>
      <w:szCs w:val="20"/>
    </w:rPr>
  </w:style>
  <w:style w:type="paragraph" w:styleId="CommentSubject">
    <w:name w:val="annotation subject"/>
    <w:basedOn w:val="CommentText"/>
    <w:next w:val="CommentText"/>
    <w:link w:val="CommentSubjectChar"/>
    <w:uiPriority w:val="99"/>
    <w:semiHidden/>
    <w:unhideWhenUsed/>
    <w:rsid w:val="00D70690"/>
    <w:rPr>
      <w:b/>
      <w:bCs/>
    </w:rPr>
  </w:style>
  <w:style w:type="character" w:customStyle="1" w:styleId="CommentSubjectChar">
    <w:name w:val="Comment Subject Char"/>
    <w:basedOn w:val="CommentTextChar"/>
    <w:link w:val="CommentSubject"/>
    <w:uiPriority w:val="99"/>
    <w:semiHidden/>
    <w:rsid w:val="00D70690"/>
    <w:rPr>
      <w:b/>
      <w:bCs/>
      <w:sz w:val="20"/>
      <w:szCs w:val="20"/>
    </w:rPr>
  </w:style>
  <w:style w:type="paragraph" w:styleId="BalloonText">
    <w:name w:val="Balloon Text"/>
    <w:basedOn w:val="Normal"/>
    <w:link w:val="BalloonTextChar"/>
    <w:uiPriority w:val="99"/>
    <w:semiHidden/>
    <w:unhideWhenUsed/>
    <w:rsid w:val="00D70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90"/>
    <w:rPr>
      <w:rFonts w:ascii="Segoe UI" w:hAnsi="Segoe UI" w:cs="Segoe UI"/>
      <w:sz w:val="18"/>
      <w:szCs w:val="18"/>
    </w:rPr>
  </w:style>
  <w:style w:type="character" w:styleId="FootnoteReference">
    <w:name w:val="footnote reference"/>
    <w:basedOn w:val="DefaultParagraphFont"/>
    <w:uiPriority w:val="99"/>
    <w:rsid w:val="00253927"/>
    <w:rPr>
      <w:rFonts w:ascii="Arial" w:hAnsi="Arial"/>
      <w:color w:val="FF0000"/>
      <w:sz w:val="21"/>
      <w:vertAlign w:val="superscript"/>
    </w:rPr>
  </w:style>
  <w:style w:type="paragraph" w:styleId="Revision">
    <w:name w:val="Revision"/>
    <w:hidden/>
    <w:uiPriority w:val="99"/>
    <w:semiHidden/>
    <w:rsid w:val="005E105B"/>
    <w:pPr>
      <w:spacing w:after="0" w:line="240" w:lineRule="auto"/>
    </w:pPr>
  </w:style>
  <w:style w:type="paragraph" w:styleId="FootnoteText">
    <w:name w:val="footnote text"/>
    <w:basedOn w:val="Normal"/>
    <w:link w:val="FootnoteTextChar"/>
    <w:uiPriority w:val="99"/>
    <w:semiHidden/>
    <w:unhideWhenUsed/>
    <w:rsid w:val="00C12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757"/>
    <w:rPr>
      <w:sz w:val="20"/>
      <w:szCs w:val="20"/>
    </w:rPr>
  </w:style>
  <w:style w:type="character" w:styleId="Strong">
    <w:name w:val="Strong"/>
    <w:basedOn w:val="DefaultParagraphFont"/>
    <w:uiPriority w:val="22"/>
    <w:qFormat/>
    <w:rsid w:val="00D37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865">
      <w:bodyDiv w:val="1"/>
      <w:marLeft w:val="0"/>
      <w:marRight w:val="0"/>
      <w:marTop w:val="0"/>
      <w:marBottom w:val="0"/>
      <w:divBdr>
        <w:top w:val="none" w:sz="0" w:space="0" w:color="auto"/>
        <w:left w:val="none" w:sz="0" w:space="0" w:color="auto"/>
        <w:bottom w:val="none" w:sz="0" w:space="0" w:color="auto"/>
        <w:right w:val="none" w:sz="0" w:space="0" w:color="auto"/>
      </w:divBdr>
    </w:div>
    <w:div w:id="741677630">
      <w:bodyDiv w:val="1"/>
      <w:marLeft w:val="0"/>
      <w:marRight w:val="0"/>
      <w:marTop w:val="0"/>
      <w:marBottom w:val="0"/>
      <w:divBdr>
        <w:top w:val="none" w:sz="0" w:space="0" w:color="auto"/>
        <w:left w:val="none" w:sz="0" w:space="0" w:color="auto"/>
        <w:bottom w:val="none" w:sz="0" w:space="0" w:color="auto"/>
        <w:right w:val="none" w:sz="0" w:space="0" w:color="auto"/>
      </w:divBdr>
    </w:div>
    <w:div w:id="765081546">
      <w:bodyDiv w:val="1"/>
      <w:marLeft w:val="0"/>
      <w:marRight w:val="0"/>
      <w:marTop w:val="0"/>
      <w:marBottom w:val="0"/>
      <w:divBdr>
        <w:top w:val="none" w:sz="0" w:space="0" w:color="auto"/>
        <w:left w:val="none" w:sz="0" w:space="0" w:color="auto"/>
        <w:bottom w:val="none" w:sz="0" w:space="0" w:color="auto"/>
        <w:right w:val="none" w:sz="0" w:space="0" w:color="auto"/>
      </w:divBdr>
    </w:div>
    <w:div w:id="17436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4BDF6-9F3A-4EC1-A34D-0A92B9CE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4626</Words>
  <Characters>26369</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Heewoong Kim</dc:creator>
  <cp:lastModifiedBy>Svetlana Iazykova</cp:lastModifiedBy>
  <cp:revision>2</cp:revision>
  <cp:lastPrinted>2017-12-06T22:09:00Z</cp:lastPrinted>
  <dcterms:created xsi:type="dcterms:W3CDTF">2017-12-07T21:27:00Z</dcterms:created>
  <dcterms:modified xsi:type="dcterms:W3CDTF">2017-12-07T21:27:00Z</dcterms:modified>
</cp:coreProperties>
</file>